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52" w:rsidRDefault="00E40552">
      <w:r>
        <w:t>Memorandum for the Record</w:t>
      </w:r>
    </w:p>
    <w:p w:rsidR="00E40552" w:rsidRDefault="00E40552">
      <w:r>
        <w:t>Telephone interview with Ann Rutledge of R&amp;R Consulting</w:t>
      </w:r>
    </w:p>
    <w:p w:rsidR="009C55AF" w:rsidRDefault="009C55AF">
      <w:r>
        <w:t>011-852-2358-8498</w:t>
      </w:r>
    </w:p>
    <w:p w:rsidR="00E40552" w:rsidRDefault="00E40552">
      <w:r>
        <w:t>Interviewer/MFR Writer: Bruce McWilliams</w:t>
      </w:r>
    </w:p>
    <w:p w:rsidR="00A4548C" w:rsidRDefault="003277FD">
      <w:r>
        <w:t>April 22, 2010</w:t>
      </w:r>
    </w:p>
    <w:p w:rsidR="00FE3DE3" w:rsidRDefault="00FE3DE3">
      <w:pPr>
        <w:rPr>
          <w:b/>
        </w:rPr>
      </w:pPr>
      <w:r>
        <w:rPr>
          <w:b/>
        </w:rPr>
        <w:t>No tape recording</w:t>
      </w:r>
    </w:p>
    <w:p w:rsidR="00A4548C" w:rsidRPr="003277FD" w:rsidRDefault="003277FD">
      <w:pPr>
        <w:rPr>
          <w:b/>
        </w:rPr>
      </w:pPr>
      <w:r>
        <w:rPr>
          <w:b/>
        </w:rPr>
        <w:t xml:space="preserve">Background: Rutledge used to work for Moody’s. </w:t>
      </w:r>
      <w:r w:rsidR="00A4548C" w:rsidRPr="003277FD">
        <w:rPr>
          <w:b/>
        </w:rPr>
        <w:t xml:space="preserve">We served Rutledge with a friendly subpoena in order to allow her to talk to us about her examination of </w:t>
      </w:r>
      <w:proofErr w:type="spellStart"/>
      <w:r w:rsidR="00A4548C" w:rsidRPr="003277FD">
        <w:rPr>
          <w:b/>
        </w:rPr>
        <w:t>Parmalat’s</w:t>
      </w:r>
      <w:proofErr w:type="spellEnd"/>
      <w:r w:rsidR="00A4548C" w:rsidRPr="003277FD">
        <w:rPr>
          <w:b/>
        </w:rPr>
        <w:t xml:space="preserve"> securitization bonds for Citigroup.</w:t>
      </w:r>
    </w:p>
    <w:p w:rsidR="00A4548C" w:rsidRDefault="00A4548C"/>
    <w:p w:rsidR="00A4548C" w:rsidRDefault="00A4548C">
      <w:r>
        <w:t xml:space="preserve">Rutledge left Moody’s in 1999. </w:t>
      </w:r>
    </w:p>
    <w:p w:rsidR="00A4548C" w:rsidRDefault="00A4548C">
      <w:r>
        <w:t xml:space="preserve">She said, “There was pretty clear evidence of fraud taking place at </w:t>
      </w:r>
      <w:proofErr w:type="spellStart"/>
      <w:r>
        <w:t>Parmalat</w:t>
      </w:r>
      <w:proofErr w:type="spellEnd"/>
      <w:r>
        <w:t>. The customer made up a lot of data. Her response was that Moody’s doesn’t look at fraud. I knew that the agencies turned a blind eye to fraud.”</w:t>
      </w:r>
    </w:p>
    <w:p w:rsidR="00A4548C" w:rsidRDefault="00A4548C">
      <w:r>
        <w:t>In 2007, she was asked to be</w:t>
      </w:r>
      <w:r w:rsidR="003277FD">
        <w:t xml:space="preserve"> </w:t>
      </w:r>
      <w:proofErr w:type="gramStart"/>
      <w:r w:rsidR="003277FD">
        <w:t>investigate</w:t>
      </w:r>
      <w:proofErr w:type="gramEnd"/>
      <w:r w:rsidR="003277FD">
        <w:t xml:space="preserve">. “It was clear it was something collaborative between </w:t>
      </w:r>
      <w:proofErr w:type="spellStart"/>
      <w:r w:rsidR="003277FD">
        <w:t>Citi</w:t>
      </w:r>
      <w:proofErr w:type="spellEnd"/>
      <w:r w:rsidR="003277FD">
        <w:t xml:space="preserve"> and </w:t>
      </w:r>
      <w:proofErr w:type="spellStart"/>
      <w:r w:rsidR="003277FD">
        <w:t>Parmalat</w:t>
      </w:r>
      <w:proofErr w:type="spellEnd"/>
      <w:r w:rsidR="003277FD">
        <w:t>.”</w:t>
      </w:r>
    </w:p>
    <w:p w:rsidR="003277FD" w:rsidRDefault="003277FD">
      <w:r>
        <w:t xml:space="preserve">The first problem was that </w:t>
      </w:r>
      <w:proofErr w:type="spellStart"/>
      <w:r>
        <w:t>Citi</w:t>
      </w:r>
      <w:proofErr w:type="spellEnd"/>
      <w:r>
        <w:t xml:space="preserve"> did due diligence and then takes the results of its due diligence to Moody’s.</w:t>
      </w:r>
    </w:p>
    <w:p w:rsidR="003277FD" w:rsidRDefault="003277FD">
      <w:r>
        <w:t xml:space="preserve">As part of the proof of its “Prime-1” </w:t>
      </w:r>
      <w:proofErr w:type="spellStart"/>
      <w:r>
        <w:t>ness</w:t>
      </w:r>
      <w:proofErr w:type="spellEnd"/>
      <w:r>
        <w:t xml:space="preserve"> was an argument about cumulative losses. </w:t>
      </w:r>
      <w:proofErr w:type="gramStart"/>
      <w:r>
        <w:t xml:space="preserve">Simple with over </w:t>
      </w:r>
      <w:proofErr w:type="spellStart"/>
      <w:r>
        <w:t>collaterilzationwith</w:t>
      </w:r>
      <w:proofErr w:type="spellEnd"/>
      <w:r>
        <w:t xml:space="preserve"> loan loss reserves.</w:t>
      </w:r>
      <w:proofErr w:type="gramEnd"/>
      <w:r>
        <w:t xml:space="preserve"> </w:t>
      </w:r>
    </w:p>
    <w:p w:rsidR="00FE3DE3" w:rsidRDefault="00FE3DE3">
      <w:proofErr w:type="gramStart"/>
      <w:r>
        <w:t xml:space="preserve">“Static pool </w:t>
      </w:r>
      <w:proofErr w:type="spellStart"/>
      <w:r>
        <w:t>vs</w:t>
      </w:r>
      <w:proofErr w:type="spellEnd"/>
      <w:r>
        <w:t xml:space="preserve"> revolving pool”.</w:t>
      </w:r>
      <w:proofErr w:type="gramEnd"/>
      <w:r>
        <w:t xml:space="preserve"> Static pool is a measure of risk. So loan loss is </w:t>
      </w:r>
      <w:proofErr w:type="gramStart"/>
      <w:r>
        <w:t>2x</w:t>
      </w:r>
      <w:proofErr w:type="gramEnd"/>
      <w:r>
        <w:t>. So credit enhancement was les</w:t>
      </w:r>
    </w:p>
    <w:p w:rsidR="00FE3DE3" w:rsidRDefault="00FE3DE3">
      <w:r>
        <w:t xml:space="preserve">The worse thing in the </w:t>
      </w:r>
      <w:proofErr w:type="spellStart"/>
      <w:r>
        <w:t>Parmalat</w:t>
      </w:r>
      <w:proofErr w:type="spellEnd"/>
      <w:r>
        <w:t xml:space="preserve"> case was double invoicing to their dealers.</w:t>
      </w:r>
    </w:p>
    <w:p w:rsidR="00FE3DE3" w:rsidRDefault="00FE3DE3">
      <w:r>
        <w:t>Both receivables would be secured.</w:t>
      </w:r>
    </w:p>
    <w:p w:rsidR="00FE3DE3" w:rsidRDefault="00FE3DE3">
      <w:r>
        <w:t>Receivables cannot be fixed in the conduit.</w:t>
      </w:r>
    </w:p>
    <w:p w:rsidR="00FE3DE3" w:rsidRDefault="00FE3DE3">
      <w:proofErr w:type="gramStart"/>
      <w:r>
        <w:t>Her class, 1998-2003.</w:t>
      </w:r>
      <w:proofErr w:type="gramEnd"/>
      <w:r>
        <w:t xml:space="preserve"> </w:t>
      </w:r>
      <w:proofErr w:type="gramStart"/>
      <w:r>
        <w:t>The first time, Davis Square with Goldman Sachs, TCW as collateral.</w:t>
      </w:r>
      <w:proofErr w:type="gramEnd"/>
    </w:p>
    <w:p w:rsidR="00FE3DE3" w:rsidRDefault="00FE3DE3">
      <w:proofErr w:type="spellStart"/>
      <w:r>
        <w:t>Triggerles</w:t>
      </w:r>
      <w:proofErr w:type="spellEnd"/>
      <w:r>
        <w:t>=top tranches in ABCP conduits.</w:t>
      </w:r>
    </w:p>
    <w:p w:rsidR="00FE3DE3" w:rsidRDefault="00FE3DE3">
      <w:proofErr w:type="gramStart"/>
      <w:r>
        <w:t>Reps and warranties- absolute quantity of receivables.</w:t>
      </w:r>
      <w:proofErr w:type="gramEnd"/>
    </w:p>
    <w:p w:rsidR="00FE3DE3" w:rsidRDefault="00FE3DE3">
      <w:r>
        <w:lastRenderedPageBreak/>
        <w:t>We service portfolio of debt issues from 03-06.</w:t>
      </w:r>
    </w:p>
    <w:p w:rsidR="00FE3DE3" w:rsidRDefault="00FE3DE3">
      <w:r>
        <w:t xml:space="preserve">Credit standpoint: How are inventories repaid from receivables if servicer is substantially </w:t>
      </w:r>
      <w:proofErr w:type="gramStart"/>
      <w:r>
        <w:t>impaired.</w:t>
      </w:r>
      <w:proofErr w:type="gramEnd"/>
      <w:r>
        <w:t xml:space="preserve"> A few invoices are legitimate.</w:t>
      </w:r>
    </w:p>
    <w:p w:rsidR="00FE3DE3" w:rsidRDefault="00FE3DE3"/>
    <w:p w:rsidR="00FE3DE3" w:rsidRDefault="00FE3DE3">
      <w:proofErr w:type="gramStart"/>
      <w:r>
        <w:t>If we can get data and spread it.</w:t>
      </w:r>
      <w:proofErr w:type="gramEnd"/>
    </w:p>
    <w:p w:rsidR="00FE3DE3" w:rsidRDefault="00FE3DE3">
      <w:r>
        <w:t xml:space="preserve">Three main questions: </w:t>
      </w:r>
    </w:p>
    <w:p w:rsidR="00FE3DE3" w:rsidRDefault="00FE3DE3">
      <w:r>
        <w:tab/>
      </w:r>
      <w:proofErr w:type="gramStart"/>
      <w:r>
        <w:t>Reps and warranties?</w:t>
      </w:r>
      <w:proofErr w:type="gramEnd"/>
    </w:p>
    <w:p w:rsidR="00FE3DE3" w:rsidRDefault="00FE3DE3">
      <w:r>
        <w:tab/>
      </w:r>
      <w:proofErr w:type="gramStart"/>
      <w:r>
        <w:t>Service?</w:t>
      </w:r>
      <w:proofErr w:type="gramEnd"/>
      <w:r>
        <w:t xml:space="preserve"> If there’s a shortfall, do you the servicer pay it back?</w:t>
      </w:r>
    </w:p>
    <w:p w:rsidR="00E40552" w:rsidRDefault="00FE3DE3">
      <w:r>
        <w:tab/>
        <w:t xml:space="preserve">Do they recast pool from one </w:t>
      </w:r>
      <w:proofErr w:type="gramStart"/>
      <w:r>
        <w:t>days</w:t>
      </w:r>
      <w:proofErr w:type="gramEnd"/>
      <w:r>
        <w:t xml:space="preserve"> to next?</w:t>
      </w:r>
    </w:p>
    <w:p w:rsidR="009C55AF" w:rsidRDefault="009C55AF"/>
    <w:p w:rsidR="00E40552" w:rsidRDefault="00E40552"/>
    <w:p w:rsidR="00E40552" w:rsidRDefault="00E40552" w:rsidP="00E40552">
      <w:r>
        <w:t>Ann Rutledge email</w:t>
      </w:r>
    </w:p>
    <w:p w:rsidR="00E40552" w:rsidRDefault="00E40552" w:rsidP="00E40552">
      <w:r>
        <w:t xml:space="preserve">What I didn't explain in the last email is that, in the binder of data were printouts of </w:t>
      </w:r>
      <w:proofErr w:type="spellStart"/>
      <w:r>
        <w:t>Citi's</w:t>
      </w:r>
      <w:proofErr w:type="spellEnd"/>
      <w:r>
        <w:t xml:space="preserve"> data management system. I actually spread out a lot of that data into Excel--probably nobody expected anyone to do it, the numbers were size 10 </w:t>
      </w:r>
      <w:proofErr w:type="gramStart"/>
      <w:r>
        <w:t>font</w:t>
      </w:r>
      <w:proofErr w:type="gramEnd"/>
      <w:r>
        <w:t xml:space="preserve">--and discovered two things as a result. #1, the deal didn't work, almost from the beginning. (In the XLS I sent before, look at how the Credit Notes have to grow, and look at how the loss reserve is eaten into-it's actually negative, which means they're under-collateralized.) And #2, </w:t>
      </w:r>
      <w:proofErr w:type="spellStart"/>
      <w:r>
        <w:t>Citi</w:t>
      </w:r>
      <w:proofErr w:type="spellEnd"/>
      <w:r>
        <w:t xml:space="preserve"> was treating all the defaulted accounts as if they would self-liquidate in time for the next payment. I showed this to my husband, who said </w:t>
      </w:r>
      <w:proofErr w:type="gramStart"/>
      <w:r>
        <w:t>this</w:t>
      </w:r>
      <w:proofErr w:type="gramEnd"/>
      <w:r>
        <w:t xml:space="preserve"> was an old trick; that </w:t>
      </w:r>
      <w:proofErr w:type="spellStart"/>
      <w:r>
        <w:t>Citi</w:t>
      </w:r>
      <w:proofErr w:type="spellEnd"/>
      <w:r>
        <w:t xml:space="preserve"> was treating defaulted CC accounts as tier 1 capital in 1991, when he worked in the CC department.</w:t>
      </w:r>
      <w:r>
        <w:br w:type="textWrapping" w:clear="all"/>
      </w:r>
    </w:p>
    <w:p w:rsidR="00E40552" w:rsidRDefault="00E40552" w:rsidP="00E40552">
      <w:r>
        <w:t>Sources of bad practice</w:t>
      </w:r>
    </w:p>
    <w:p w:rsidR="00E40552" w:rsidRDefault="00E40552" w:rsidP="00E40552">
      <w:r>
        <w:t>Hiding mounting losses by expanding asset in securitization (the denominator effect)</w:t>
      </w:r>
    </w:p>
    <w:p w:rsidR="00E40552" w:rsidRDefault="00E40552" w:rsidP="00E40552">
      <w:r>
        <w:t xml:space="preserve">Ignoring termination trigger to force early </w:t>
      </w:r>
      <w:proofErr w:type="spellStart"/>
      <w:r>
        <w:t>amoritization</w:t>
      </w:r>
      <w:proofErr w:type="spellEnd"/>
    </w:p>
    <w:p w:rsidR="00E40552" w:rsidRDefault="00E40552" w:rsidP="00E40552">
      <w:r>
        <w:t>Overdraw facility</w:t>
      </w:r>
    </w:p>
    <w:p w:rsidR="00E40552" w:rsidRDefault="00E40552" w:rsidP="00E40552">
      <w:r>
        <w:t>Delayed payments by issuer</w:t>
      </w:r>
    </w:p>
    <w:p w:rsidR="00E40552" w:rsidRDefault="00E40552" w:rsidP="00E40552">
      <w:r>
        <w:t>Increases in required loss reserve (don’t get this)</w:t>
      </w:r>
    </w:p>
    <w:p w:rsidR="00E40552" w:rsidRDefault="00E40552" w:rsidP="00E40552">
      <w:r>
        <w:t>Redefining days past due at 210 days + from 90 days +</w:t>
      </w:r>
    </w:p>
    <w:p w:rsidR="00E40552" w:rsidRDefault="00E40552" w:rsidP="00E40552">
      <w:r>
        <w:lastRenderedPageBreak/>
        <w:t>Redefine ineligible assets as 239 days from origination</w:t>
      </w:r>
    </w:p>
    <w:p w:rsidR="00E40552" w:rsidRDefault="00E40552" w:rsidP="00E40552">
      <w:r>
        <w:t>Agent did not conduct required examination of receivables</w:t>
      </w:r>
    </w:p>
    <w:p w:rsidR="00E40552" w:rsidRDefault="00E40552" w:rsidP="00E40552">
      <w:r>
        <w:t>Agent did not report material credit quality deterioration</w:t>
      </w:r>
    </w:p>
    <w:p w:rsidR="00E40552" w:rsidRDefault="00E40552" w:rsidP="00E40552">
      <w:r>
        <w:t>Self dealing</w:t>
      </w:r>
    </w:p>
    <w:p w:rsidR="00E40552" w:rsidRDefault="00E40552" w:rsidP="00E40552">
      <w:r>
        <w:t xml:space="preserve">Allowing dummy invoices which serves to </w:t>
      </w:r>
      <w:proofErr w:type="spellStart"/>
      <w:r>
        <w:t>undercollateralize</w:t>
      </w:r>
      <w:proofErr w:type="spellEnd"/>
      <w:r>
        <w:t xml:space="preserve"> conduit</w:t>
      </w:r>
    </w:p>
    <w:p w:rsidR="00E40552" w:rsidRDefault="00E40552" w:rsidP="00E40552"/>
    <w:p w:rsidR="00E40552" w:rsidRDefault="00E40552" w:rsidP="00E40552">
      <w:r>
        <w:t>FAKE ABCP conduit: Actual liquidity backstop poor credit quality</w:t>
      </w:r>
    </w:p>
    <w:p w:rsidR="00E40552" w:rsidRDefault="00E40552" w:rsidP="00E40552"/>
    <w:p w:rsidR="00E40552" w:rsidRDefault="00E40552"/>
    <w:p w:rsidR="00E40552" w:rsidRDefault="00E40552"/>
    <w:p w:rsidR="00B1063F" w:rsidRPr="00E40552" w:rsidRDefault="00E40552">
      <w:pPr>
        <w:rPr>
          <w:sz w:val="16"/>
        </w:rPr>
      </w:pPr>
      <w:proofErr w:type="gramStart"/>
      <w:r w:rsidRPr="00E40552">
        <w:rPr>
          <w:sz w:val="16"/>
        </w:rPr>
        <w:t>4819-0205-3127, v.</w:t>
      </w:r>
      <w:proofErr w:type="gramEnd"/>
      <w:r w:rsidRPr="00E40552">
        <w:rPr>
          <w:sz w:val="16"/>
        </w:rPr>
        <w:t xml:space="preserve">  1</w:t>
      </w:r>
    </w:p>
    <w:sectPr w:rsidR="00B1063F" w:rsidRPr="00E40552" w:rsidSect="00B1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552"/>
    <w:rsid w:val="003277FD"/>
    <w:rsid w:val="009C55AF"/>
    <w:rsid w:val="00A4548C"/>
    <w:rsid w:val="00B1063F"/>
    <w:rsid w:val="00E40552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52"/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bmcwilliams</dc:creator>
  <cp:keywords/>
  <dc:description/>
  <cp:lastModifiedBy>bmcwilliams</cp:lastModifiedBy>
  <cp:revision>3</cp:revision>
  <dcterms:created xsi:type="dcterms:W3CDTF">2010-10-08T20:00:00Z</dcterms:created>
  <dcterms:modified xsi:type="dcterms:W3CDTF">2010-10-08T20:57:00Z</dcterms:modified>
</cp:coreProperties>
</file>