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D6" w:rsidRPr="00415290" w:rsidRDefault="009079D6" w:rsidP="009079D6">
      <w:pPr>
        <w:keepNext/>
        <w:spacing w:after="240"/>
        <w:ind w:left="360"/>
        <w:jc w:val="center"/>
        <w:rPr>
          <w:b/>
        </w:rPr>
      </w:pPr>
      <w:r w:rsidRPr="00415290">
        <w:rPr>
          <w:b/>
        </w:rPr>
        <w:t>MEMORANDUM FOR THE RECORD</w:t>
      </w:r>
    </w:p>
    <w:p w:rsidR="009079D6" w:rsidRDefault="009079D6" w:rsidP="00FA2BA4">
      <w:pPr>
        <w:rPr>
          <w:szCs w:val="20"/>
          <w:u w:val="single"/>
        </w:rPr>
      </w:pPr>
    </w:p>
    <w:p w:rsidR="009079D6" w:rsidRDefault="009079D6" w:rsidP="00FA2BA4">
      <w:pPr>
        <w:rPr>
          <w:szCs w:val="20"/>
          <w:u w:val="single"/>
        </w:rPr>
      </w:pPr>
    </w:p>
    <w:p w:rsidR="00FA2BA4" w:rsidRPr="004F178D" w:rsidRDefault="00FA2BA4" w:rsidP="00FA2BA4">
      <w:pPr>
        <w:rPr>
          <w:rFonts w:ascii="Times" w:hAnsi="Times"/>
          <w:sz w:val="20"/>
          <w:szCs w:val="20"/>
        </w:rPr>
      </w:pPr>
      <w:r w:rsidRPr="004F178D">
        <w:rPr>
          <w:szCs w:val="20"/>
          <w:u w:val="single"/>
        </w:rPr>
        <w:t>Type of Event</w:t>
      </w:r>
      <w:r w:rsidRPr="004F178D">
        <w:rPr>
          <w:szCs w:val="20"/>
        </w:rPr>
        <w:t>: Interview</w:t>
      </w:r>
      <w:r w:rsidR="00915004">
        <w:rPr>
          <w:szCs w:val="20"/>
        </w:rPr>
        <w:t xml:space="preserve"> with </w:t>
      </w:r>
      <w:r w:rsidR="009079D6">
        <w:t>Gary Gensler, CFTC Chairman</w:t>
      </w:r>
    </w:p>
    <w:p w:rsidR="00FA2BA4" w:rsidRPr="004F178D" w:rsidRDefault="00FA2BA4" w:rsidP="00FA2BA4">
      <w:pPr>
        <w:rPr>
          <w:rFonts w:ascii="Times" w:hAnsi="Times"/>
          <w:sz w:val="20"/>
          <w:szCs w:val="20"/>
        </w:rPr>
      </w:pPr>
      <w:r w:rsidRPr="004F178D">
        <w:rPr>
          <w:szCs w:val="20"/>
        </w:rPr>
        <w:t> </w:t>
      </w:r>
    </w:p>
    <w:p w:rsidR="00FA2BA4" w:rsidRDefault="00FA2BA4" w:rsidP="00FA2BA4">
      <w:pPr>
        <w:rPr>
          <w:szCs w:val="20"/>
        </w:rPr>
      </w:pPr>
      <w:r w:rsidRPr="004F178D">
        <w:rPr>
          <w:szCs w:val="20"/>
          <w:u w:val="single"/>
        </w:rPr>
        <w:t>Date of Event</w:t>
      </w:r>
      <w:r w:rsidR="00915004">
        <w:rPr>
          <w:szCs w:val="20"/>
        </w:rPr>
        <w:t>: 5/14</w:t>
      </w:r>
      <w:r w:rsidRPr="004F178D">
        <w:rPr>
          <w:szCs w:val="20"/>
        </w:rPr>
        <w:t xml:space="preserve">/2010  </w:t>
      </w:r>
    </w:p>
    <w:p w:rsidR="00FA2BA4" w:rsidRPr="004F178D" w:rsidRDefault="00FA2BA4" w:rsidP="00FA2BA4">
      <w:pPr>
        <w:rPr>
          <w:rFonts w:ascii="Times" w:hAnsi="Times"/>
          <w:sz w:val="20"/>
          <w:szCs w:val="20"/>
        </w:rPr>
      </w:pPr>
    </w:p>
    <w:p w:rsidR="00FA2BA4" w:rsidRDefault="00FA2BA4" w:rsidP="00FA2BA4">
      <w:pPr>
        <w:rPr>
          <w:szCs w:val="20"/>
        </w:rPr>
      </w:pPr>
      <w:r w:rsidRPr="004F178D">
        <w:rPr>
          <w:szCs w:val="20"/>
          <w:u w:val="single"/>
        </w:rPr>
        <w:t>Time:</w:t>
      </w:r>
      <w:r>
        <w:rPr>
          <w:rFonts w:ascii="Times New  Roman" w:hAnsi="Times New  Roman"/>
          <w:szCs w:val="20"/>
        </w:rPr>
        <w:t xml:space="preserve"> </w:t>
      </w:r>
      <w:r w:rsidR="000E132B">
        <w:rPr>
          <w:rFonts w:ascii="Times New  Roman" w:hAnsi="Times New  Roman"/>
          <w:szCs w:val="20"/>
        </w:rPr>
        <w:t>1:30p.m.</w:t>
      </w:r>
    </w:p>
    <w:p w:rsidR="00FA2BA4" w:rsidRPr="004F178D" w:rsidRDefault="00FA2BA4" w:rsidP="00FA2BA4">
      <w:pPr>
        <w:rPr>
          <w:rFonts w:ascii="Times" w:hAnsi="Times"/>
          <w:sz w:val="20"/>
          <w:szCs w:val="20"/>
        </w:rPr>
      </w:pPr>
      <w:r w:rsidRPr="004F178D">
        <w:rPr>
          <w:szCs w:val="20"/>
        </w:rPr>
        <w:t> </w:t>
      </w:r>
    </w:p>
    <w:p w:rsidR="00FA2BA4" w:rsidRPr="004F178D" w:rsidRDefault="00FA2BA4" w:rsidP="00FA2BA4">
      <w:pPr>
        <w:rPr>
          <w:rFonts w:ascii="Times" w:hAnsi="Times"/>
          <w:sz w:val="20"/>
          <w:szCs w:val="20"/>
        </w:rPr>
      </w:pPr>
      <w:r w:rsidRPr="004F178D">
        <w:rPr>
          <w:szCs w:val="20"/>
          <w:u w:val="single"/>
        </w:rPr>
        <w:t>Location</w:t>
      </w:r>
      <w:r w:rsidRPr="004F178D">
        <w:rPr>
          <w:szCs w:val="20"/>
        </w:rPr>
        <w:t xml:space="preserve">: </w:t>
      </w:r>
      <w:r w:rsidR="00915004">
        <w:rPr>
          <w:szCs w:val="20"/>
        </w:rPr>
        <w:t>CFTC</w:t>
      </w:r>
      <w:r w:rsidR="009079D6">
        <w:rPr>
          <w:szCs w:val="20"/>
        </w:rPr>
        <w:t xml:space="preserve"> Office </w:t>
      </w:r>
      <w:r w:rsidR="009079D6">
        <w:t>1155 21st Street, NW, Washington, DC 20581</w:t>
      </w:r>
    </w:p>
    <w:p w:rsidR="00FA2BA4" w:rsidRDefault="00FA2BA4" w:rsidP="00FA2BA4">
      <w:pPr>
        <w:rPr>
          <w:szCs w:val="20"/>
        </w:rPr>
      </w:pPr>
      <w:r w:rsidRPr="004F178D">
        <w:rPr>
          <w:szCs w:val="20"/>
        </w:rPr>
        <w:t> </w:t>
      </w:r>
    </w:p>
    <w:p w:rsidR="00FA2BA4" w:rsidRPr="004F178D" w:rsidRDefault="00FA2BA4" w:rsidP="00FA2BA4">
      <w:pPr>
        <w:rPr>
          <w:rFonts w:ascii="Times" w:hAnsi="Times"/>
          <w:sz w:val="20"/>
          <w:szCs w:val="20"/>
        </w:rPr>
      </w:pPr>
      <w:r w:rsidRPr="004F178D">
        <w:rPr>
          <w:szCs w:val="20"/>
          <w:u w:val="single"/>
        </w:rPr>
        <w:t>Participants – FCIC</w:t>
      </w:r>
      <w:r w:rsidR="000E132B">
        <w:rPr>
          <w:szCs w:val="20"/>
        </w:rPr>
        <w:t xml:space="preserve">: </w:t>
      </w:r>
      <w:r w:rsidRPr="004F178D">
        <w:rPr>
          <w:szCs w:val="20"/>
        </w:rPr>
        <w:t xml:space="preserve"> </w:t>
      </w:r>
      <w:r w:rsidR="00915004">
        <w:rPr>
          <w:szCs w:val="20"/>
        </w:rPr>
        <w:t>Chris Seefer, Dona Norman, Greg Feldberg, Randall Dodd, Mike Easterly and Jon Armstrong</w:t>
      </w:r>
    </w:p>
    <w:p w:rsidR="00FA2BA4" w:rsidRPr="004F178D" w:rsidRDefault="00FA2BA4" w:rsidP="00FA2BA4">
      <w:pPr>
        <w:rPr>
          <w:rFonts w:ascii="Times" w:hAnsi="Times"/>
          <w:sz w:val="20"/>
          <w:szCs w:val="20"/>
        </w:rPr>
      </w:pPr>
    </w:p>
    <w:p w:rsidR="0047219E" w:rsidRDefault="00FA2BA4" w:rsidP="00FA2BA4">
      <w:pPr>
        <w:rPr>
          <w:szCs w:val="20"/>
        </w:rPr>
      </w:pPr>
      <w:r w:rsidRPr="004F178D">
        <w:rPr>
          <w:szCs w:val="20"/>
          <w:u w:val="single"/>
        </w:rPr>
        <w:t>Participants – Non-FCIC</w:t>
      </w:r>
      <w:r w:rsidRPr="004F178D">
        <w:rPr>
          <w:szCs w:val="20"/>
        </w:rPr>
        <w:t>:</w:t>
      </w:r>
      <w:r w:rsidR="0047219E">
        <w:rPr>
          <w:szCs w:val="20"/>
        </w:rPr>
        <w:t xml:space="preserve"> Gary Gensler Dan Berkovitz- General Counsel, Cyrus Amir Mokier, </w:t>
      </w:r>
      <w:r w:rsidR="000E132B">
        <w:rPr>
          <w:szCs w:val="20"/>
        </w:rPr>
        <w:t>Senior Counsel</w:t>
      </w:r>
      <w:r w:rsidR="0047219E">
        <w:rPr>
          <w:szCs w:val="20"/>
        </w:rPr>
        <w:t xml:space="preserve"> to the Chairman</w:t>
      </w:r>
    </w:p>
    <w:p w:rsidR="00FA2BA4" w:rsidRPr="004F178D" w:rsidRDefault="00FA2BA4" w:rsidP="00FA2BA4">
      <w:pPr>
        <w:rPr>
          <w:rFonts w:ascii="Times" w:hAnsi="Times"/>
          <w:sz w:val="20"/>
          <w:szCs w:val="20"/>
        </w:rPr>
      </w:pPr>
      <w:r w:rsidRPr="004F178D">
        <w:rPr>
          <w:szCs w:val="20"/>
        </w:rPr>
        <w:t> </w:t>
      </w:r>
    </w:p>
    <w:p w:rsidR="00FA2BA4" w:rsidRPr="004F178D" w:rsidRDefault="00FA2BA4" w:rsidP="00FA2BA4">
      <w:pPr>
        <w:rPr>
          <w:rFonts w:ascii="Times" w:hAnsi="Times"/>
          <w:sz w:val="20"/>
          <w:szCs w:val="20"/>
        </w:rPr>
      </w:pPr>
      <w:r w:rsidRPr="004F178D">
        <w:rPr>
          <w:szCs w:val="20"/>
          <w:u w:val="single"/>
        </w:rPr>
        <w:t xml:space="preserve">Memorandum prepared </w:t>
      </w:r>
      <w:r w:rsidR="00915004">
        <w:rPr>
          <w:szCs w:val="20"/>
        </w:rPr>
        <w:t>5/18/2010</w:t>
      </w:r>
    </w:p>
    <w:p w:rsidR="00FA2BA4" w:rsidRPr="004F178D" w:rsidRDefault="00FA2BA4" w:rsidP="00FA2BA4">
      <w:pPr>
        <w:rPr>
          <w:rFonts w:ascii="Times" w:hAnsi="Times"/>
          <w:sz w:val="20"/>
          <w:szCs w:val="20"/>
        </w:rPr>
      </w:pPr>
      <w:r w:rsidRPr="004F178D">
        <w:rPr>
          <w:szCs w:val="20"/>
        </w:rPr>
        <w:t> </w:t>
      </w:r>
    </w:p>
    <w:p w:rsidR="00FA2BA4" w:rsidRDefault="00FA2BA4" w:rsidP="00FA2BA4">
      <w:pPr>
        <w:rPr>
          <w:rFonts w:ascii="Times New  Roman" w:hAnsi="Times New  Roman"/>
          <w:szCs w:val="20"/>
        </w:rPr>
      </w:pPr>
      <w:r w:rsidRPr="004F178D">
        <w:rPr>
          <w:szCs w:val="20"/>
          <w:u w:val="single"/>
        </w:rPr>
        <w:t>Date of Memorandum</w:t>
      </w:r>
      <w:r w:rsidRPr="004F178D">
        <w:rPr>
          <w:rFonts w:ascii="Times New  Roman" w:hAnsi="Times New  Roman"/>
          <w:szCs w:val="20"/>
        </w:rPr>
        <w:t>:</w:t>
      </w:r>
      <w:r w:rsidR="00915004">
        <w:rPr>
          <w:rFonts w:ascii="Times New  Roman" w:hAnsi="Times New  Roman"/>
          <w:szCs w:val="20"/>
        </w:rPr>
        <w:t xml:space="preserve"> 5/18/2010</w:t>
      </w:r>
    </w:p>
    <w:p w:rsidR="00915004" w:rsidRPr="004F178D" w:rsidRDefault="00915004" w:rsidP="00FA2BA4">
      <w:pPr>
        <w:rPr>
          <w:rFonts w:ascii="Times" w:hAnsi="Times"/>
          <w:sz w:val="20"/>
          <w:szCs w:val="20"/>
        </w:rPr>
      </w:pPr>
    </w:p>
    <w:p w:rsidR="00FA2BA4" w:rsidRPr="004F178D" w:rsidRDefault="00FA2BA4" w:rsidP="00FA2BA4">
      <w:pPr>
        <w:spacing w:before="100"/>
        <w:rPr>
          <w:rFonts w:ascii="Times" w:hAnsi="Times"/>
          <w:sz w:val="20"/>
          <w:szCs w:val="20"/>
        </w:rPr>
      </w:pPr>
      <w:r w:rsidRPr="004F178D">
        <w:rPr>
          <w:color w:val="000000"/>
          <w:szCs w:val="20"/>
          <w:u w:val="single"/>
        </w:rPr>
        <w:t>MFR Prepared by</w:t>
      </w:r>
      <w:r w:rsidRPr="004F178D">
        <w:rPr>
          <w:color w:val="000000"/>
          <w:szCs w:val="20"/>
        </w:rPr>
        <w:t>: Jon Armstrong</w:t>
      </w:r>
    </w:p>
    <w:p w:rsidR="00FA2BA4" w:rsidRPr="004F178D" w:rsidRDefault="00FA2BA4" w:rsidP="00FA2BA4">
      <w:pPr>
        <w:rPr>
          <w:rFonts w:ascii="Times" w:hAnsi="Times"/>
          <w:sz w:val="20"/>
          <w:szCs w:val="20"/>
        </w:rPr>
      </w:pPr>
      <w:r w:rsidRPr="004F178D">
        <w:rPr>
          <w:szCs w:val="20"/>
        </w:rPr>
        <w:t> </w:t>
      </w:r>
    </w:p>
    <w:p w:rsidR="00697B76" w:rsidRDefault="00FA2BA4" w:rsidP="00697B76">
      <w:pPr>
        <w:rPr>
          <w:szCs w:val="20"/>
        </w:rPr>
      </w:pPr>
      <w:r w:rsidRPr="004F178D">
        <w:rPr>
          <w:szCs w:val="20"/>
          <w:u w:val="single"/>
        </w:rPr>
        <w:t>Summary of the Interview</w:t>
      </w:r>
      <w:r w:rsidRPr="004F178D">
        <w:rPr>
          <w:szCs w:val="20"/>
        </w:rPr>
        <w:t xml:space="preserve">: This </w:t>
      </w:r>
      <w:r w:rsidR="000E132B">
        <w:rPr>
          <w:szCs w:val="20"/>
        </w:rPr>
        <w:t xml:space="preserve">interview </w:t>
      </w:r>
      <w:r w:rsidR="000E132B">
        <w:rPr>
          <w:rFonts w:ascii="Times New  Roman" w:hAnsi="Times New  Roman"/>
          <w:szCs w:val="20"/>
        </w:rPr>
        <w:t>primarily focused on the history of derivatives and</w:t>
      </w:r>
      <w:r w:rsidR="002165BE">
        <w:rPr>
          <w:rFonts w:ascii="Times New  Roman" w:hAnsi="Times New  Roman"/>
          <w:szCs w:val="20"/>
        </w:rPr>
        <w:t xml:space="preserve"> regulation in addition to </w:t>
      </w:r>
      <w:r w:rsidR="000E132B">
        <w:rPr>
          <w:rFonts w:ascii="Times New  Roman" w:hAnsi="Times New  Roman"/>
          <w:szCs w:val="20"/>
        </w:rPr>
        <w:t>the underlying causes of the financial crisis.</w:t>
      </w:r>
      <w:r w:rsidR="00915004">
        <w:rPr>
          <w:rFonts w:ascii="Times New  Roman" w:hAnsi="Times New  Roman"/>
          <w:szCs w:val="20"/>
        </w:rPr>
        <w:t xml:space="preserve"> </w:t>
      </w:r>
    </w:p>
    <w:p w:rsidR="00697B76" w:rsidRPr="00226E27" w:rsidRDefault="00697B76" w:rsidP="00697B76"/>
    <w:p w:rsidR="00697B76" w:rsidRPr="00226E27" w:rsidRDefault="00697B76" w:rsidP="00697B76"/>
    <w:p w:rsidR="00697B76" w:rsidRPr="00226E27" w:rsidRDefault="00697B76" w:rsidP="00697B76"/>
    <w:p w:rsidR="0004232C" w:rsidRPr="00226E27" w:rsidRDefault="00697B76" w:rsidP="000E132B">
      <w:pPr>
        <w:pStyle w:val="ListParagraph"/>
        <w:numPr>
          <w:ilvl w:val="0"/>
          <w:numId w:val="29"/>
        </w:numPr>
        <w:rPr>
          <w:rFonts w:ascii="Times New Roman" w:hAnsi="Times New Roman" w:cs="Times New Roman"/>
          <w:sz w:val="24"/>
          <w:szCs w:val="24"/>
        </w:rPr>
      </w:pPr>
      <w:r w:rsidRPr="00226E27">
        <w:rPr>
          <w:rFonts w:ascii="Times New Roman" w:hAnsi="Times New Roman" w:cs="Times New Roman"/>
          <w:sz w:val="24"/>
          <w:szCs w:val="24"/>
        </w:rPr>
        <w:t>Factors that Led to The Financial Crisis</w:t>
      </w:r>
    </w:p>
    <w:p w:rsidR="00226E27" w:rsidRDefault="00226E27" w:rsidP="0004232C">
      <w:pPr>
        <w:pStyle w:val="ListParagraph"/>
        <w:widowControl w:val="0"/>
        <w:numPr>
          <w:ilvl w:val="0"/>
          <w:numId w:val="5"/>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Significant Economic I</w:t>
      </w:r>
      <w:r w:rsidR="0047219E" w:rsidRPr="00226E27">
        <w:rPr>
          <w:rFonts w:ascii="Times New Roman" w:hAnsi="Times New Roman" w:cs="Times New Roman"/>
          <w:sz w:val="24"/>
          <w:szCs w:val="24"/>
        </w:rPr>
        <w:t xml:space="preserve">mbalances.  </w:t>
      </w:r>
    </w:p>
    <w:p w:rsidR="00410C51" w:rsidRPr="00410C51" w:rsidRDefault="00226E27" w:rsidP="00410C51">
      <w:pPr>
        <w:pStyle w:val="ListParagraph"/>
        <w:widowControl w:val="0"/>
        <w:autoSpaceDE w:val="0"/>
        <w:autoSpaceDN w:val="0"/>
        <w:adjustRightInd w:val="0"/>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1. </w:t>
      </w:r>
      <w:r w:rsidR="0047219E" w:rsidRPr="00226E27">
        <w:rPr>
          <w:rFonts w:ascii="Times New Roman" w:hAnsi="Times New Roman" w:cs="Times New Roman"/>
          <w:sz w:val="24"/>
          <w:szCs w:val="24"/>
        </w:rPr>
        <w:t>We went into this period of time with l</w:t>
      </w:r>
      <w:r w:rsidR="00410C51">
        <w:rPr>
          <w:rFonts w:ascii="Times New Roman" w:hAnsi="Times New Roman" w:cs="Times New Roman"/>
          <w:sz w:val="24"/>
          <w:szCs w:val="24"/>
        </w:rPr>
        <w:t>ow and declining savings rates. And these</w:t>
      </w:r>
      <w:r w:rsidRPr="00410C51">
        <w:rPr>
          <w:rFonts w:ascii="Times New Roman" w:hAnsi="Times New Roman" w:cs="Times New Roman"/>
          <w:sz w:val="24"/>
          <w:szCs w:val="24"/>
        </w:rPr>
        <w:t xml:space="preserve"> are global imbalances.  </w:t>
      </w:r>
    </w:p>
    <w:p w:rsidR="0047219E" w:rsidRDefault="00410C51" w:rsidP="00410C51">
      <w:pPr>
        <w:pStyle w:val="ListParagraph"/>
        <w:widowControl w:val="0"/>
        <w:autoSpaceDE w:val="0"/>
        <w:autoSpaceDN w:val="0"/>
        <w:adjustRightInd w:val="0"/>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2. </w:t>
      </w:r>
      <w:r w:rsidR="00226E27">
        <w:rPr>
          <w:rFonts w:ascii="Times New Roman" w:hAnsi="Times New Roman" w:cs="Times New Roman"/>
          <w:sz w:val="24"/>
          <w:szCs w:val="24"/>
        </w:rPr>
        <w:t>There were</w:t>
      </w:r>
      <w:r>
        <w:rPr>
          <w:rFonts w:ascii="Times New Roman" w:hAnsi="Times New Roman" w:cs="Times New Roman"/>
          <w:sz w:val="24"/>
          <w:szCs w:val="24"/>
        </w:rPr>
        <w:t xml:space="preserve"> also</w:t>
      </w:r>
      <w:r w:rsidR="00226E27">
        <w:rPr>
          <w:rFonts w:ascii="Times New Roman" w:hAnsi="Times New Roman" w:cs="Times New Roman"/>
          <w:sz w:val="24"/>
          <w:szCs w:val="24"/>
        </w:rPr>
        <w:t xml:space="preserve"> very </w:t>
      </w:r>
      <w:r w:rsidR="0047219E" w:rsidRPr="00226E27">
        <w:rPr>
          <w:rFonts w:ascii="Times New Roman" w:hAnsi="Times New Roman" w:cs="Times New Roman"/>
          <w:sz w:val="24"/>
          <w:szCs w:val="24"/>
        </w:rPr>
        <w:t xml:space="preserve">high savings rates in Asia, particularly in China and </w:t>
      </w:r>
      <w:r w:rsidRPr="00226E27">
        <w:rPr>
          <w:rFonts w:ascii="Times New Roman" w:hAnsi="Times New Roman" w:cs="Times New Roman"/>
          <w:sz w:val="24"/>
          <w:szCs w:val="24"/>
        </w:rPr>
        <w:t xml:space="preserve">in </w:t>
      </w:r>
      <w:r>
        <w:rPr>
          <w:rFonts w:ascii="Times New Roman" w:hAnsi="Times New Roman" w:cs="Times New Roman"/>
          <w:sz w:val="24"/>
          <w:szCs w:val="24"/>
        </w:rPr>
        <w:t>the</w:t>
      </w:r>
      <w:r w:rsidR="0047219E" w:rsidRPr="00226E27">
        <w:rPr>
          <w:rFonts w:ascii="Times New Roman" w:hAnsi="Times New Roman" w:cs="Times New Roman"/>
          <w:sz w:val="24"/>
          <w:szCs w:val="24"/>
        </w:rPr>
        <w:t xml:space="preserve"> Middle East.  </w:t>
      </w:r>
    </w:p>
    <w:p w:rsidR="00410C51" w:rsidRDefault="00410C51" w:rsidP="00410C51">
      <w:pPr>
        <w:pStyle w:val="ListParagraph"/>
        <w:widowControl w:val="0"/>
        <w:autoSpaceDE w:val="0"/>
        <w:autoSpaceDN w:val="0"/>
        <w:adjustRightInd w:val="0"/>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3. The Evidence of the global imbalances.</w:t>
      </w:r>
    </w:p>
    <w:p w:rsidR="0047219E" w:rsidRPr="00410C51" w:rsidRDefault="00410C51" w:rsidP="005D79E9">
      <w:pPr>
        <w:pStyle w:val="ListParagraph"/>
        <w:widowControl w:val="0"/>
        <w:autoSpaceDE w:val="0"/>
        <w:autoSpaceDN w:val="0"/>
        <w:adjustRightInd w:val="0"/>
        <w:spacing w:line="480" w:lineRule="auto"/>
        <w:ind w:left="216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226E27">
        <w:rPr>
          <w:rFonts w:ascii="Times New Roman" w:hAnsi="Times New Roman" w:cs="Times New Roman"/>
          <w:sz w:val="24"/>
          <w:szCs w:val="24"/>
        </w:rPr>
        <w:t xml:space="preserve">very low savings rates, significant </w:t>
      </w:r>
      <w:r>
        <w:rPr>
          <w:rFonts w:ascii="Times New Roman" w:hAnsi="Times New Roman" w:cs="Times New Roman"/>
          <w:sz w:val="24"/>
          <w:szCs w:val="24"/>
        </w:rPr>
        <w:t>trade imbalances and</w:t>
      </w:r>
      <w:r w:rsidRPr="00226E27">
        <w:rPr>
          <w:rFonts w:ascii="Times New Roman" w:hAnsi="Times New Roman" w:cs="Times New Roman"/>
          <w:sz w:val="24"/>
          <w:szCs w:val="24"/>
        </w:rPr>
        <w:t xml:space="preserve"> moving from budget surpluses to budget deficits.  </w:t>
      </w:r>
    </w:p>
    <w:p w:rsidR="0047219E" w:rsidRPr="00226E27" w:rsidRDefault="00226E27" w:rsidP="0004232C">
      <w:pPr>
        <w:pStyle w:val="ListParagraph"/>
        <w:widowControl w:val="0"/>
        <w:numPr>
          <w:ilvl w:val="0"/>
          <w:numId w:val="5"/>
        </w:numPr>
        <w:autoSpaceDE w:val="0"/>
        <w:autoSpaceDN w:val="0"/>
        <w:adjustRightInd w:val="0"/>
        <w:spacing w:line="480" w:lineRule="auto"/>
        <w:rPr>
          <w:rFonts w:ascii="Times New Roman" w:hAnsi="Times New Roman" w:cs="Times New Roman"/>
          <w:sz w:val="24"/>
          <w:szCs w:val="24"/>
        </w:rPr>
      </w:pPr>
      <w:r w:rsidRPr="00410C51">
        <w:rPr>
          <w:rFonts w:ascii="Times New Roman" w:hAnsi="Times New Roman" w:cs="Times New Roman"/>
          <w:sz w:val="24"/>
          <w:szCs w:val="24"/>
        </w:rPr>
        <w:t>T</w:t>
      </w:r>
      <w:r w:rsidR="0047219E" w:rsidRPr="00410C51">
        <w:rPr>
          <w:rFonts w:ascii="Times New Roman" w:hAnsi="Times New Roman" w:cs="Times New Roman"/>
          <w:sz w:val="24"/>
          <w:szCs w:val="24"/>
        </w:rPr>
        <w:t>he low interest rates at the Federa</w:t>
      </w:r>
      <w:r w:rsidR="00410C51" w:rsidRPr="00410C51">
        <w:rPr>
          <w:rFonts w:ascii="Times New Roman" w:hAnsi="Times New Roman" w:cs="Times New Roman"/>
          <w:sz w:val="24"/>
          <w:szCs w:val="24"/>
        </w:rPr>
        <w:t xml:space="preserve">l Reserve and </w:t>
      </w:r>
      <w:r w:rsidR="0047219E" w:rsidRPr="00410C51">
        <w:rPr>
          <w:rFonts w:ascii="Times New Roman" w:hAnsi="Times New Roman" w:cs="Times New Roman"/>
          <w:sz w:val="24"/>
          <w:szCs w:val="24"/>
        </w:rPr>
        <w:t xml:space="preserve">the very easy monetary policies of </w:t>
      </w:r>
      <w:r w:rsidR="0047219E" w:rsidRPr="00410C51">
        <w:rPr>
          <w:rFonts w:ascii="Times New Roman" w:hAnsi="Times New Roman" w:cs="Times New Roman"/>
          <w:sz w:val="24"/>
          <w:szCs w:val="24"/>
        </w:rPr>
        <w:lastRenderedPageBreak/>
        <w:t xml:space="preserve">the early decade.  </w:t>
      </w:r>
    </w:p>
    <w:p w:rsidR="0047219E" w:rsidRPr="00226E27" w:rsidRDefault="0004232C" w:rsidP="0004232C">
      <w:pPr>
        <w:pStyle w:val="ListParagraph"/>
        <w:widowControl w:val="0"/>
        <w:numPr>
          <w:ilvl w:val="0"/>
          <w:numId w:val="5"/>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The Underwriting Practices and the Whole Pipeline</w:t>
      </w:r>
    </w:p>
    <w:p w:rsidR="0004232C" w:rsidRPr="00226E27" w:rsidRDefault="0004232C" w:rsidP="0004232C">
      <w:pPr>
        <w:pStyle w:val="ListParagraph"/>
        <w:widowControl w:val="0"/>
        <w:numPr>
          <w:ilvl w:val="0"/>
          <w:numId w:val="6"/>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The Problem with Subprime Lending </w:t>
      </w:r>
      <w:proofErr w:type="gramStart"/>
      <w:r w:rsidRPr="00226E27">
        <w:rPr>
          <w:rFonts w:ascii="Times New Roman" w:hAnsi="Times New Roman" w:cs="Times New Roman"/>
          <w:sz w:val="24"/>
          <w:szCs w:val="24"/>
        </w:rPr>
        <w:t>Prompted</w:t>
      </w:r>
      <w:proofErr w:type="gramEnd"/>
      <w:r w:rsidRPr="00226E27">
        <w:rPr>
          <w:rFonts w:ascii="Times New Roman" w:hAnsi="Times New Roman" w:cs="Times New Roman"/>
          <w:sz w:val="24"/>
          <w:szCs w:val="24"/>
        </w:rPr>
        <w:t xml:space="preserve"> us to put out a report on sub</w:t>
      </w:r>
      <w:r w:rsidR="00574989">
        <w:rPr>
          <w:rFonts w:ascii="Times New Roman" w:hAnsi="Times New Roman" w:cs="Times New Roman"/>
          <w:sz w:val="24"/>
          <w:szCs w:val="24"/>
        </w:rPr>
        <w:t>prime lending.  We had a series</w:t>
      </w:r>
      <w:r w:rsidRPr="00226E27">
        <w:rPr>
          <w:rFonts w:ascii="Times New Roman" w:hAnsi="Times New Roman" w:cs="Times New Roman"/>
          <w:sz w:val="24"/>
          <w:szCs w:val="24"/>
        </w:rPr>
        <w:t xml:space="preserve"> of recommendations.</w:t>
      </w:r>
    </w:p>
    <w:p w:rsidR="00676CDF" w:rsidRPr="00226E27" w:rsidRDefault="00676CDF" w:rsidP="00676CDF">
      <w:pPr>
        <w:pStyle w:val="ListParagraph"/>
        <w:widowControl w:val="0"/>
        <w:numPr>
          <w:ilvl w:val="0"/>
          <w:numId w:val="5"/>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Another Factor was the Mortgage Finance Companies</w:t>
      </w:r>
    </w:p>
    <w:p w:rsidR="00676CDF" w:rsidRPr="00226E27" w:rsidRDefault="001D7E2A" w:rsidP="00676CDF">
      <w:pPr>
        <w:pStyle w:val="ListParagraph"/>
        <w:widowControl w:val="0"/>
        <w:numPr>
          <w:ilvl w:val="0"/>
          <w:numId w:val="7"/>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Most of the f</w:t>
      </w:r>
      <w:r w:rsidR="00676CDF" w:rsidRPr="00226E27">
        <w:rPr>
          <w:rFonts w:ascii="Times New Roman" w:hAnsi="Times New Roman" w:cs="Times New Roman"/>
          <w:sz w:val="24"/>
          <w:szCs w:val="24"/>
        </w:rPr>
        <w:t>irms that came into trouble were not federally regulated.</w:t>
      </w:r>
    </w:p>
    <w:p w:rsidR="00676CDF" w:rsidRPr="00226E27" w:rsidRDefault="00676CDF" w:rsidP="00676CDF">
      <w:pPr>
        <w:pStyle w:val="ListParagraph"/>
        <w:widowControl w:val="0"/>
        <w:numPr>
          <w:ilvl w:val="0"/>
          <w:numId w:val="7"/>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We have a very patchwork-quilt sort of environment for regulation</w:t>
      </w:r>
      <w:r w:rsidR="001D7E2A">
        <w:rPr>
          <w:rFonts w:ascii="Times New Roman" w:hAnsi="Times New Roman" w:cs="Times New Roman"/>
          <w:sz w:val="24"/>
          <w:szCs w:val="24"/>
        </w:rPr>
        <w:t>.</w:t>
      </w:r>
    </w:p>
    <w:p w:rsidR="00676CDF" w:rsidRPr="00226E27" w:rsidRDefault="00676CDF" w:rsidP="00676CDF">
      <w:pPr>
        <w:pStyle w:val="ListParagraph"/>
        <w:widowControl w:val="0"/>
        <w:numPr>
          <w:ilvl w:val="0"/>
          <w:numId w:val="5"/>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The Rating Agencies also </w:t>
      </w:r>
      <w:r w:rsidR="00AF51C7" w:rsidRPr="00226E27">
        <w:rPr>
          <w:rFonts w:ascii="Times New Roman" w:hAnsi="Times New Roman" w:cs="Times New Roman"/>
          <w:sz w:val="24"/>
          <w:szCs w:val="24"/>
        </w:rPr>
        <w:t>played</w:t>
      </w:r>
      <w:r w:rsidRPr="00226E27">
        <w:rPr>
          <w:rFonts w:ascii="Times New Roman" w:hAnsi="Times New Roman" w:cs="Times New Roman"/>
          <w:sz w:val="24"/>
          <w:szCs w:val="24"/>
        </w:rPr>
        <w:t xml:space="preserve"> a Crucial Role.</w:t>
      </w:r>
    </w:p>
    <w:p w:rsidR="00676CDF" w:rsidRPr="00226E27" w:rsidRDefault="00676CDF" w:rsidP="00676CDF">
      <w:pPr>
        <w:pStyle w:val="ListParagraph"/>
        <w:widowControl w:val="0"/>
        <w:numPr>
          <w:ilvl w:val="0"/>
          <w:numId w:val="8"/>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They are the Gatekeepers.  Their function very much broke down.</w:t>
      </w:r>
    </w:p>
    <w:p w:rsidR="00676CDF" w:rsidRPr="00226E27" w:rsidRDefault="00676CDF" w:rsidP="00676CDF">
      <w:pPr>
        <w:pStyle w:val="ListParagraph"/>
        <w:widowControl w:val="0"/>
        <w:numPr>
          <w:ilvl w:val="0"/>
          <w:numId w:val="8"/>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Not even suggesting it’s a lack of regulation.</w:t>
      </w:r>
    </w:p>
    <w:p w:rsidR="00676CDF" w:rsidRPr="00C53294" w:rsidRDefault="00676CDF" w:rsidP="00676CDF">
      <w:pPr>
        <w:pStyle w:val="ListParagraph"/>
        <w:widowControl w:val="0"/>
        <w:numPr>
          <w:ilvl w:val="0"/>
          <w:numId w:val="9"/>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Quote “I mean, I just think </w:t>
      </w:r>
      <w:r w:rsidRPr="00226E27">
        <w:rPr>
          <w:rFonts w:ascii="Times New Roman" w:hAnsi="Times New Roman" w:cs="Times New Roman"/>
          <w:sz w:val="24"/>
          <w:szCs w:val="24"/>
        </w:rPr>
        <w:noBreakHyphen/>
      </w:r>
      <w:r w:rsidRPr="00226E27">
        <w:rPr>
          <w:rFonts w:ascii="Times New Roman" w:hAnsi="Times New Roman" w:cs="Times New Roman"/>
          <w:sz w:val="24"/>
          <w:szCs w:val="24"/>
        </w:rPr>
        <w:noBreakHyphen/>
        <w:t xml:space="preserve"> and the rating agencies had, for decades, rated basically corporate bonds and state municipal bonds.  But by the late nineties, you started to have these new, structured deals.  There was a whole opportunity for the rating agencies to grow and to build </w:t>
      </w:r>
      <w:r w:rsidRPr="00C53294">
        <w:rPr>
          <w:rFonts w:ascii="Times New Roman" w:hAnsi="Times New Roman" w:cs="Times New Roman"/>
          <w:sz w:val="24"/>
          <w:szCs w:val="24"/>
        </w:rPr>
        <w:t xml:space="preserve">upon and to compete.” </w:t>
      </w:r>
    </w:p>
    <w:p w:rsidR="0074312A" w:rsidRPr="00C53294" w:rsidRDefault="0074312A" w:rsidP="0074312A">
      <w:pPr>
        <w:pStyle w:val="ListParagraph"/>
        <w:widowControl w:val="0"/>
        <w:numPr>
          <w:ilvl w:val="0"/>
          <w:numId w:val="9"/>
        </w:numPr>
        <w:autoSpaceDE w:val="0"/>
        <w:autoSpaceDN w:val="0"/>
        <w:adjustRightInd w:val="0"/>
        <w:spacing w:line="480" w:lineRule="auto"/>
        <w:rPr>
          <w:rFonts w:ascii="Times New Roman" w:hAnsi="Times New Roman" w:cs="Times New Roman"/>
          <w:sz w:val="24"/>
          <w:szCs w:val="24"/>
        </w:rPr>
      </w:pPr>
      <w:r w:rsidRPr="00C53294">
        <w:rPr>
          <w:rFonts w:ascii="Times New Roman" w:hAnsi="Times New Roman" w:cs="Times New Roman"/>
        </w:rPr>
        <w:t xml:space="preserve">The model was very much underwriter-directed, picking your rating agency.  And you didn’t have to pick three of them.  Like most corporations actually get two or three ratings.  So interestingly, the rating agencies didn’t necessarily have to compete as much. </w:t>
      </w:r>
    </w:p>
    <w:p w:rsidR="007A3310" w:rsidRPr="00C53294" w:rsidRDefault="007A3310" w:rsidP="0074312A">
      <w:pPr>
        <w:pStyle w:val="ListParagraph"/>
        <w:widowControl w:val="0"/>
        <w:numPr>
          <w:ilvl w:val="0"/>
          <w:numId w:val="5"/>
        </w:numPr>
        <w:autoSpaceDE w:val="0"/>
        <w:autoSpaceDN w:val="0"/>
        <w:adjustRightInd w:val="0"/>
        <w:spacing w:line="480" w:lineRule="auto"/>
        <w:rPr>
          <w:rFonts w:ascii="Times New Roman" w:hAnsi="Times New Roman" w:cs="Times New Roman"/>
        </w:rPr>
      </w:pPr>
      <w:r w:rsidRPr="00C53294">
        <w:rPr>
          <w:rFonts w:ascii="Times New Roman" w:hAnsi="Times New Roman" w:cs="Times New Roman"/>
        </w:rPr>
        <w:t>No Consolidated Supervision of Complex Financial Institutions</w:t>
      </w:r>
    </w:p>
    <w:p w:rsidR="007A3310" w:rsidRPr="00226E27" w:rsidRDefault="007A3310" w:rsidP="007A3310">
      <w:pPr>
        <w:pStyle w:val="ListParagraph"/>
        <w:widowControl w:val="0"/>
        <w:numPr>
          <w:ilvl w:val="0"/>
          <w:numId w:val="11"/>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This was something known in the 90’s</w:t>
      </w:r>
      <w:r w:rsidR="00EC6A39">
        <w:rPr>
          <w:rFonts w:ascii="Times New Roman" w:hAnsi="Times New Roman" w:cs="Times New Roman"/>
          <w:sz w:val="24"/>
          <w:szCs w:val="24"/>
        </w:rPr>
        <w:t>.</w:t>
      </w:r>
    </w:p>
    <w:p w:rsidR="007A3310" w:rsidRPr="00226E27" w:rsidRDefault="007A3310" w:rsidP="007A3310">
      <w:pPr>
        <w:pStyle w:val="ListParagraph"/>
        <w:widowControl w:val="0"/>
        <w:numPr>
          <w:ilvl w:val="0"/>
          <w:numId w:val="11"/>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But when the investment banks started to do affiliate structures, you had the SEC regulating the broker/dealer, but nobody technically had regulation of their affiliates.  </w:t>
      </w:r>
    </w:p>
    <w:p w:rsidR="007A3310" w:rsidRPr="00226E27" w:rsidRDefault="007A3310" w:rsidP="007A3310">
      <w:pPr>
        <w:pStyle w:val="ListParagraph"/>
        <w:widowControl w:val="0"/>
        <w:numPr>
          <w:ilvl w:val="0"/>
          <w:numId w:val="11"/>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lastRenderedPageBreak/>
        <w:t>AIG fell into this category</w:t>
      </w:r>
    </w:p>
    <w:p w:rsidR="007A3310" w:rsidRPr="00226E27" w:rsidRDefault="007A3310" w:rsidP="0074312A">
      <w:pPr>
        <w:pStyle w:val="ListParagraph"/>
        <w:widowControl w:val="0"/>
        <w:numPr>
          <w:ilvl w:val="0"/>
          <w:numId w:val="5"/>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Over Reliance on Short Term Lending</w:t>
      </w:r>
    </w:p>
    <w:p w:rsidR="00C53294" w:rsidRPr="00C53294" w:rsidRDefault="00DD5BAC" w:rsidP="00C53294">
      <w:pPr>
        <w:pStyle w:val="ListParagraph"/>
        <w:widowControl w:val="0"/>
        <w:numPr>
          <w:ilvl w:val="0"/>
          <w:numId w:val="12"/>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Some people would say that financial intermedi</w:t>
      </w:r>
      <w:r w:rsidR="00C53294">
        <w:rPr>
          <w:rFonts w:ascii="Times New Roman" w:hAnsi="Times New Roman" w:cs="Times New Roman"/>
          <w:sz w:val="24"/>
          <w:szCs w:val="24"/>
        </w:rPr>
        <w:t>ati</w:t>
      </w:r>
      <w:r w:rsidRPr="00226E27">
        <w:rPr>
          <w:rFonts w:ascii="Times New Roman" w:hAnsi="Times New Roman" w:cs="Times New Roman"/>
          <w:sz w:val="24"/>
          <w:szCs w:val="24"/>
        </w:rPr>
        <w:t>on is all about</w:t>
      </w:r>
      <w:r w:rsidR="00C53294">
        <w:rPr>
          <w:rFonts w:ascii="Times New Roman" w:hAnsi="Times New Roman" w:cs="Times New Roman"/>
          <w:sz w:val="24"/>
          <w:szCs w:val="24"/>
        </w:rPr>
        <w:t xml:space="preserve"> </w:t>
      </w:r>
      <w:r w:rsidRPr="00226E27">
        <w:rPr>
          <w:rFonts w:ascii="Times New Roman" w:hAnsi="Times New Roman" w:cs="Times New Roman"/>
          <w:sz w:val="24"/>
          <w:szCs w:val="24"/>
        </w:rPr>
        <w:t>bring</w:t>
      </w:r>
      <w:r w:rsidR="00C53294">
        <w:rPr>
          <w:rFonts w:ascii="Times New Roman" w:hAnsi="Times New Roman" w:cs="Times New Roman"/>
          <w:sz w:val="24"/>
          <w:szCs w:val="24"/>
        </w:rPr>
        <w:t xml:space="preserve">ing </w:t>
      </w:r>
      <w:r w:rsidR="00C53294" w:rsidRPr="00C53294">
        <w:rPr>
          <w:rFonts w:ascii="Times New Roman" w:hAnsi="Times New Roman" w:cs="Times New Roman"/>
          <w:sz w:val="24"/>
          <w:szCs w:val="24"/>
        </w:rPr>
        <w:t>pe</w:t>
      </w:r>
      <w:r w:rsidRPr="00C53294">
        <w:rPr>
          <w:rFonts w:ascii="Times New Roman" w:hAnsi="Times New Roman" w:cs="Times New Roman"/>
          <w:sz w:val="24"/>
          <w:szCs w:val="24"/>
        </w:rPr>
        <w:t>ople together who have money and who need money.</w:t>
      </w:r>
      <w:r w:rsidR="00C53294">
        <w:rPr>
          <w:rFonts w:ascii="Times New Roman" w:hAnsi="Times New Roman" w:cs="Times New Roman"/>
          <w:sz w:val="24"/>
          <w:szCs w:val="24"/>
        </w:rPr>
        <w:t xml:space="preserve">  </w:t>
      </w:r>
      <w:r w:rsidR="00C53294" w:rsidRPr="00C53294">
        <w:rPr>
          <w:rFonts w:ascii="Times New Roman" w:hAnsi="Times New Roman" w:cs="Times New Roman"/>
        </w:rPr>
        <w:t>But it’s br</w:t>
      </w:r>
      <w:r w:rsidR="00EC6A39">
        <w:rPr>
          <w:rFonts w:ascii="Times New Roman" w:hAnsi="Times New Roman" w:cs="Times New Roman"/>
        </w:rPr>
        <w:t xml:space="preserve">inging together </w:t>
      </w:r>
      <w:r w:rsidR="00C53294" w:rsidRPr="00C53294">
        <w:rPr>
          <w:rFonts w:ascii="Times New Roman" w:hAnsi="Times New Roman" w:cs="Times New Roman"/>
        </w:rPr>
        <w:t xml:space="preserve">people that have a risk and want to lay off that risk, and somebody who is willing to bear the risk.  </w:t>
      </w:r>
    </w:p>
    <w:p w:rsidR="00DD5BAC" w:rsidRPr="00226E27" w:rsidRDefault="00C53294" w:rsidP="00DD5BAC">
      <w:pPr>
        <w:pStyle w:val="ListParagraph"/>
        <w:widowControl w:val="0"/>
        <w:numPr>
          <w:ilvl w:val="0"/>
          <w:numId w:val="12"/>
        </w:numPr>
        <w:autoSpaceDE w:val="0"/>
        <w:autoSpaceDN w:val="0"/>
        <w:adjustRightInd w:val="0"/>
        <w:spacing w:line="480" w:lineRule="auto"/>
        <w:rPr>
          <w:rFonts w:ascii="Times New Roman" w:hAnsi="Times New Roman" w:cs="Times New Roman"/>
          <w:sz w:val="24"/>
          <w:szCs w:val="24"/>
        </w:rPr>
      </w:pPr>
      <w:r w:rsidRPr="00C53294">
        <w:rPr>
          <w:rFonts w:ascii="Times New Roman" w:hAnsi="Times New Roman" w:cs="Times New Roman"/>
          <w:sz w:val="24"/>
          <w:szCs w:val="24"/>
        </w:rPr>
        <w:t>But financial intermediation</w:t>
      </w:r>
      <w:r w:rsidR="00DD5BAC" w:rsidRPr="00C53294">
        <w:rPr>
          <w:rFonts w:ascii="Times New Roman" w:hAnsi="Times New Roman" w:cs="Times New Roman"/>
          <w:sz w:val="24"/>
          <w:szCs w:val="24"/>
        </w:rPr>
        <w:t xml:space="preserve"> is also</w:t>
      </w:r>
      <w:r w:rsidR="00DD5BAC" w:rsidRPr="00226E27">
        <w:rPr>
          <w:rFonts w:ascii="Times New Roman" w:hAnsi="Times New Roman" w:cs="Times New Roman"/>
          <w:sz w:val="24"/>
          <w:szCs w:val="24"/>
        </w:rPr>
        <w:t xml:space="preserve"> about maturity mismatches.  This is at the core of financial institutions. </w:t>
      </w:r>
    </w:p>
    <w:p w:rsidR="00DD5BAC" w:rsidRPr="00226E27" w:rsidRDefault="00DD5BAC" w:rsidP="00DD5BAC">
      <w:pPr>
        <w:pStyle w:val="ListParagraph"/>
        <w:widowControl w:val="0"/>
        <w:numPr>
          <w:ilvl w:val="0"/>
          <w:numId w:val="12"/>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Regulators </w:t>
      </w:r>
      <w:r w:rsidR="00EC6A39">
        <w:rPr>
          <w:rFonts w:ascii="Times New Roman" w:hAnsi="Times New Roman" w:cs="Times New Roman"/>
          <w:sz w:val="24"/>
          <w:szCs w:val="24"/>
        </w:rPr>
        <w:t xml:space="preserve">also </w:t>
      </w:r>
      <w:r w:rsidRPr="00226E27">
        <w:rPr>
          <w:rFonts w:ascii="Times New Roman" w:hAnsi="Times New Roman" w:cs="Times New Roman"/>
          <w:sz w:val="24"/>
          <w:szCs w:val="24"/>
        </w:rPr>
        <w:t xml:space="preserve">haven’t had enough cushions for liquidity runs. </w:t>
      </w:r>
    </w:p>
    <w:p w:rsidR="00DD5BAC" w:rsidRPr="00226E27" w:rsidRDefault="008E1852" w:rsidP="00DD5BAC">
      <w:pPr>
        <w:widowControl w:val="0"/>
        <w:autoSpaceDE w:val="0"/>
        <w:autoSpaceDN w:val="0"/>
        <w:adjustRightInd w:val="0"/>
        <w:spacing w:line="480" w:lineRule="auto"/>
      </w:pPr>
      <w:r w:rsidRPr="00226E27">
        <w:t xml:space="preserve">II. The Underlying Assumptions that </w:t>
      </w:r>
      <w:r w:rsidR="00C53294" w:rsidRPr="00226E27">
        <w:t>halted</w:t>
      </w:r>
      <w:r w:rsidRPr="00226E27">
        <w:t xml:space="preserve"> the regulation of derivatives in Europe, Asia and the United States.</w:t>
      </w:r>
    </w:p>
    <w:p w:rsidR="008E1852" w:rsidRPr="00226E27" w:rsidRDefault="008E1852" w:rsidP="008E1852">
      <w:pPr>
        <w:pStyle w:val="ListParagraph"/>
        <w:widowControl w:val="0"/>
        <w:numPr>
          <w:ilvl w:val="0"/>
          <w:numId w:val="13"/>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The parties to these contracts were all sort of sophisticated parties large enough to fend for themselves.  </w:t>
      </w:r>
    </w:p>
    <w:p w:rsidR="003E4A6A" w:rsidRPr="00226E27" w:rsidRDefault="003E4A6A" w:rsidP="003E4A6A">
      <w:pPr>
        <w:pStyle w:val="ListParagraph"/>
        <w:widowControl w:val="0"/>
        <w:numPr>
          <w:ilvl w:val="0"/>
          <w:numId w:val="14"/>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This has proven to ignore that there are larger, broader more and more systemic implications. </w:t>
      </w:r>
    </w:p>
    <w:p w:rsidR="003E4A6A" w:rsidRPr="00226E27" w:rsidRDefault="003E4A6A" w:rsidP="003E4A6A">
      <w:pPr>
        <w:pStyle w:val="ListParagraph"/>
        <w:widowControl w:val="0"/>
        <w:numPr>
          <w:ilvl w:val="0"/>
          <w:numId w:val="14"/>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We’re proposing that the SEC and CFTC have explicit </w:t>
      </w:r>
      <w:r w:rsidR="005D79E9" w:rsidRPr="00226E27">
        <w:rPr>
          <w:rFonts w:ascii="Times New Roman" w:hAnsi="Times New Roman" w:cs="Times New Roman"/>
          <w:sz w:val="24"/>
          <w:szCs w:val="24"/>
        </w:rPr>
        <w:t>role writing</w:t>
      </w:r>
      <w:r w:rsidRPr="00226E27">
        <w:rPr>
          <w:rFonts w:ascii="Times New Roman" w:hAnsi="Times New Roman" w:cs="Times New Roman"/>
          <w:sz w:val="24"/>
          <w:szCs w:val="24"/>
        </w:rPr>
        <w:t xml:space="preserve"> authority to protect business conduct, protect business conduct from fraud, manipulation, and other abuses in the marketplace.</w:t>
      </w:r>
    </w:p>
    <w:p w:rsidR="008E1852" w:rsidRPr="00226E27" w:rsidRDefault="008E1852" w:rsidP="008E1852">
      <w:pPr>
        <w:pStyle w:val="ListParagraph"/>
        <w:widowControl w:val="0"/>
        <w:numPr>
          <w:ilvl w:val="0"/>
          <w:numId w:val="13"/>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The institutions that were operating as dealers, what we are now calling “swap dealers,” were basically regulated, anyway. </w:t>
      </w:r>
    </w:p>
    <w:p w:rsidR="00193412" w:rsidRPr="00226E27" w:rsidRDefault="00193412" w:rsidP="00193412">
      <w:pPr>
        <w:pStyle w:val="ListParagraph"/>
        <w:widowControl w:val="0"/>
        <w:numPr>
          <w:ilvl w:val="0"/>
          <w:numId w:val="16"/>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The affiliates of the investment banks, the AIG affiliate, they weren’t really effectively regulated.  </w:t>
      </w:r>
    </w:p>
    <w:p w:rsidR="001206E5" w:rsidRPr="00226E27" w:rsidRDefault="001206E5" w:rsidP="00193412">
      <w:pPr>
        <w:pStyle w:val="ListParagraph"/>
        <w:widowControl w:val="0"/>
        <w:numPr>
          <w:ilvl w:val="0"/>
          <w:numId w:val="16"/>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Even if you were in the middle of a large bank and you were regulated by the </w:t>
      </w:r>
      <w:r w:rsidRPr="00226E27">
        <w:rPr>
          <w:rFonts w:ascii="Times New Roman" w:hAnsi="Times New Roman" w:cs="Times New Roman"/>
          <w:sz w:val="24"/>
          <w:szCs w:val="24"/>
        </w:rPr>
        <w:lastRenderedPageBreak/>
        <w:t>bank regulators, you weren’t explicitly regulated for capital.</w:t>
      </w:r>
    </w:p>
    <w:p w:rsidR="00E34138" w:rsidRPr="00226E27" w:rsidRDefault="001206E5" w:rsidP="00226E27">
      <w:pPr>
        <w:pStyle w:val="ListParagraph"/>
        <w:widowControl w:val="0"/>
        <w:numPr>
          <w:ilvl w:val="0"/>
          <w:numId w:val="16"/>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There are not explicit rules a</w:t>
      </w:r>
      <w:r w:rsidR="00EC6A39">
        <w:rPr>
          <w:rFonts w:ascii="Times New Roman" w:hAnsi="Times New Roman" w:cs="Times New Roman"/>
          <w:sz w:val="24"/>
          <w:szCs w:val="24"/>
        </w:rPr>
        <w:t xml:space="preserve">bout how to do netting and back </w:t>
      </w:r>
      <w:r w:rsidRPr="00226E27">
        <w:rPr>
          <w:rFonts w:ascii="Times New Roman" w:hAnsi="Times New Roman" w:cs="Times New Roman"/>
          <w:sz w:val="24"/>
          <w:szCs w:val="24"/>
        </w:rPr>
        <w:t>office documentation etc.</w:t>
      </w:r>
    </w:p>
    <w:p w:rsidR="008E1852" w:rsidRPr="00226E27" w:rsidRDefault="008E1852" w:rsidP="00193412">
      <w:pPr>
        <w:pStyle w:val="ListParagraph"/>
        <w:widowControl w:val="0"/>
        <w:numPr>
          <w:ilvl w:val="0"/>
          <w:numId w:val="13"/>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That somehow that market discipline amongst these sophisticated parties with the institutions generally regulated, anyway, would kind of work.  </w:t>
      </w:r>
    </w:p>
    <w:p w:rsidR="001206E5" w:rsidRPr="00226E27" w:rsidRDefault="001206E5" w:rsidP="001206E5">
      <w:pPr>
        <w:pStyle w:val="ListParagraph"/>
        <w:widowControl w:val="0"/>
        <w:numPr>
          <w:ilvl w:val="0"/>
          <w:numId w:val="19"/>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There are just too many externalities to leave it to chance.  </w:t>
      </w:r>
    </w:p>
    <w:p w:rsidR="001206E5" w:rsidRPr="00226E27" w:rsidRDefault="001206E5" w:rsidP="001206E5">
      <w:pPr>
        <w:pStyle w:val="ListParagraph"/>
        <w:widowControl w:val="0"/>
        <w:numPr>
          <w:ilvl w:val="0"/>
          <w:numId w:val="13"/>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The Hedging Practices are bilateral</w:t>
      </w:r>
      <w:r w:rsidR="004C2BF2" w:rsidRPr="00226E27">
        <w:rPr>
          <w:rFonts w:ascii="Times New Roman" w:hAnsi="Times New Roman" w:cs="Times New Roman"/>
          <w:sz w:val="24"/>
          <w:szCs w:val="24"/>
        </w:rPr>
        <w:t>,</w:t>
      </w:r>
      <w:r w:rsidRPr="00226E27">
        <w:rPr>
          <w:rFonts w:ascii="Times New Roman" w:hAnsi="Times New Roman" w:cs="Times New Roman"/>
          <w:sz w:val="24"/>
          <w:szCs w:val="24"/>
        </w:rPr>
        <w:t xml:space="preserve"> basically highly tailored, </w:t>
      </w:r>
      <w:r w:rsidR="004C2BF2" w:rsidRPr="00226E27">
        <w:rPr>
          <w:rFonts w:ascii="Times New Roman" w:hAnsi="Times New Roman" w:cs="Times New Roman"/>
          <w:sz w:val="24"/>
          <w:szCs w:val="24"/>
        </w:rPr>
        <w:t>and are</w:t>
      </w:r>
      <w:r w:rsidRPr="00226E27">
        <w:rPr>
          <w:rFonts w:ascii="Times New Roman" w:hAnsi="Times New Roman" w:cs="Times New Roman"/>
          <w:sz w:val="24"/>
          <w:szCs w:val="24"/>
        </w:rPr>
        <w:t xml:space="preserve"> not susceptible to centralized market structures.  </w:t>
      </w:r>
    </w:p>
    <w:p w:rsidR="004C2BF2" w:rsidRPr="00226E27" w:rsidRDefault="004C2BF2" w:rsidP="004C2BF2">
      <w:pPr>
        <w:pStyle w:val="ListParagraph"/>
        <w:widowControl w:val="0"/>
        <w:numPr>
          <w:ilvl w:val="0"/>
          <w:numId w:val="20"/>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This is something that was probably true in the 80’s, but has become less true in the nineties and as computerization too off.</w:t>
      </w:r>
    </w:p>
    <w:p w:rsidR="004C2BF2" w:rsidRPr="00226E27" w:rsidRDefault="004C2BF2" w:rsidP="004C2BF2">
      <w:pPr>
        <w:widowControl w:val="0"/>
        <w:autoSpaceDE w:val="0"/>
        <w:autoSpaceDN w:val="0"/>
        <w:adjustRightInd w:val="0"/>
        <w:spacing w:line="480" w:lineRule="auto"/>
      </w:pPr>
      <w:r w:rsidRPr="00226E27">
        <w:t>III. The Role Derivatives Played in the Financial Crisis</w:t>
      </w:r>
    </w:p>
    <w:p w:rsidR="007A3310" w:rsidRPr="00226E27" w:rsidRDefault="00B50523" w:rsidP="00B50523">
      <w:pPr>
        <w:pStyle w:val="ListParagraph"/>
        <w:widowControl w:val="0"/>
        <w:numPr>
          <w:ilvl w:val="0"/>
          <w:numId w:val="22"/>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I</w:t>
      </w:r>
      <w:r w:rsidR="00D14658" w:rsidRPr="00226E27">
        <w:rPr>
          <w:rFonts w:ascii="Times New Roman" w:hAnsi="Times New Roman" w:cs="Times New Roman"/>
          <w:sz w:val="24"/>
          <w:szCs w:val="24"/>
        </w:rPr>
        <w:t>t was a very real role.  The</w:t>
      </w:r>
      <w:r w:rsidR="009079D6">
        <w:rPr>
          <w:rFonts w:ascii="Times New Roman" w:hAnsi="Times New Roman" w:cs="Times New Roman"/>
          <w:sz w:val="24"/>
          <w:szCs w:val="24"/>
        </w:rPr>
        <w:t xml:space="preserve"> over the </w:t>
      </w:r>
      <w:r w:rsidR="004C2BF2" w:rsidRPr="00226E27">
        <w:rPr>
          <w:rFonts w:ascii="Times New Roman" w:hAnsi="Times New Roman" w:cs="Times New Roman"/>
          <w:sz w:val="24"/>
          <w:szCs w:val="24"/>
        </w:rPr>
        <w:t>counter derivatives are</w:t>
      </w:r>
      <w:r w:rsidR="00D14658" w:rsidRPr="00226E27">
        <w:rPr>
          <w:rFonts w:ascii="Times New Roman" w:hAnsi="Times New Roman" w:cs="Times New Roman"/>
          <w:sz w:val="24"/>
          <w:szCs w:val="24"/>
        </w:rPr>
        <w:t xml:space="preserve"> an</w:t>
      </w:r>
      <w:r w:rsidR="000D3A1B">
        <w:rPr>
          <w:rFonts w:ascii="Times New Roman" w:hAnsi="Times New Roman" w:cs="Times New Roman"/>
          <w:sz w:val="24"/>
          <w:szCs w:val="24"/>
        </w:rPr>
        <w:t xml:space="preserve"> important hedging tool</w:t>
      </w:r>
      <w:r w:rsidR="004C2BF2" w:rsidRPr="00226E27">
        <w:rPr>
          <w:rFonts w:ascii="Times New Roman" w:hAnsi="Times New Roman" w:cs="Times New Roman"/>
          <w:sz w:val="24"/>
          <w:szCs w:val="24"/>
        </w:rPr>
        <w:t xml:space="preserve"> for corporate and municipal governments.  But they do allow for risks to be concentrated.  They’re meant to be risk-management tools, and to lower risk for the users, and they generally do that.  </w:t>
      </w:r>
    </w:p>
    <w:p w:rsidR="00DB04F4" w:rsidRPr="00226E27" w:rsidRDefault="00DB04F4" w:rsidP="00B50523">
      <w:pPr>
        <w:pStyle w:val="ListParagraph"/>
        <w:widowControl w:val="0"/>
        <w:numPr>
          <w:ilvl w:val="0"/>
          <w:numId w:val="22"/>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Over-the-counter derivatives can add to the leverage in the system.</w:t>
      </w:r>
    </w:p>
    <w:p w:rsidR="00DB04F4" w:rsidRPr="00226E27" w:rsidRDefault="00DB04F4" w:rsidP="00DB04F4">
      <w:pPr>
        <w:pStyle w:val="ListParagraph"/>
        <w:widowControl w:val="0"/>
        <w:numPr>
          <w:ilvl w:val="0"/>
          <w:numId w:val="23"/>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In the modern world, you can put a lot of that same borrowing, if you w</w:t>
      </w:r>
      <w:r w:rsidR="009079D6">
        <w:rPr>
          <w:rFonts w:ascii="Times New Roman" w:hAnsi="Times New Roman" w:cs="Times New Roman"/>
          <w:sz w:val="24"/>
          <w:szCs w:val="24"/>
        </w:rPr>
        <w:t xml:space="preserve">ish, in the form of an over the </w:t>
      </w:r>
      <w:r w:rsidRPr="00226E27">
        <w:rPr>
          <w:rFonts w:ascii="Times New Roman" w:hAnsi="Times New Roman" w:cs="Times New Roman"/>
          <w:sz w:val="24"/>
          <w:szCs w:val="24"/>
        </w:rPr>
        <w:t>counter derivative.  And so it can add a great deal of risk.</w:t>
      </w:r>
    </w:p>
    <w:p w:rsidR="00DB04F4" w:rsidRPr="00226E27" w:rsidRDefault="00697B76" w:rsidP="00DB04F4">
      <w:pPr>
        <w:pStyle w:val="ListParagraph"/>
        <w:widowControl w:val="0"/>
        <w:numPr>
          <w:ilvl w:val="0"/>
          <w:numId w:val="22"/>
        </w:numPr>
        <w:autoSpaceDE w:val="0"/>
        <w:autoSpaceDN w:val="0"/>
        <w:adjustRightInd w:val="0"/>
        <w:spacing w:line="480" w:lineRule="auto"/>
        <w:rPr>
          <w:rFonts w:ascii="Times New Roman" w:hAnsi="Times New Roman" w:cs="Times New Roman"/>
          <w:sz w:val="24"/>
          <w:szCs w:val="24"/>
        </w:rPr>
      </w:pPr>
      <w:r w:rsidRPr="00226E27">
        <w:rPr>
          <w:rFonts w:ascii="Times New Roman" w:hAnsi="Times New Roman" w:cs="Times New Roman"/>
          <w:sz w:val="24"/>
          <w:szCs w:val="24"/>
        </w:rPr>
        <w:t xml:space="preserve">Derivatives and </w:t>
      </w:r>
      <w:r w:rsidR="009079D6" w:rsidRPr="00226E27">
        <w:rPr>
          <w:rFonts w:ascii="Times New Roman" w:hAnsi="Times New Roman" w:cs="Times New Roman"/>
          <w:sz w:val="24"/>
          <w:szCs w:val="24"/>
        </w:rPr>
        <w:t>CDSs Played</w:t>
      </w:r>
      <w:r w:rsidRPr="00226E27">
        <w:rPr>
          <w:rFonts w:ascii="Times New Roman" w:hAnsi="Times New Roman" w:cs="Times New Roman"/>
          <w:sz w:val="24"/>
          <w:szCs w:val="24"/>
        </w:rPr>
        <w:t xml:space="preserve"> a Major role in the Home-mortgage securitization chain.</w:t>
      </w:r>
    </w:p>
    <w:p w:rsidR="00697B76" w:rsidRPr="00226E27" w:rsidRDefault="007A0B23" w:rsidP="00697B76">
      <w:pPr>
        <w:pStyle w:val="ListParagraph"/>
        <w:widowControl w:val="0"/>
        <w:numPr>
          <w:ilvl w:val="0"/>
          <w:numId w:val="24"/>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These products by</w:t>
      </w:r>
      <w:r w:rsidR="00697B76" w:rsidRPr="00226E27">
        <w:rPr>
          <w:rFonts w:ascii="Times New Roman" w:hAnsi="Times New Roman" w:cs="Times New Roman"/>
          <w:sz w:val="24"/>
          <w:szCs w:val="24"/>
        </w:rPr>
        <w:t xml:space="preserve"> 2004 and 2005 </w:t>
      </w:r>
      <w:r>
        <w:rPr>
          <w:rFonts w:ascii="Times New Roman" w:hAnsi="Times New Roman" w:cs="Times New Roman"/>
          <w:sz w:val="24"/>
          <w:szCs w:val="24"/>
        </w:rPr>
        <w:t xml:space="preserve">being used in the securitization chain that </w:t>
      </w:r>
      <w:r w:rsidR="00697B76" w:rsidRPr="00226E27">
        <w:rPr>
          <w:rFonts w:ascii="Times New Roman" w:hAnsi="Times New Roman" w:cs="Times New Roman"/>
          <w:sz w:val="24"/>
          <w:szCs w:val="24"/>
        </w:rPr>
        <w:t xml:space="preserve">had some very adverse effects. </w:t>
      </w:r>
    </w:p>
    <w:p w:rsidR="00574989" w:rsidRDefault="00697B76" w:rsidP="00697B76">
      <w:pPr>
        <w:widowControl w:val="0"/>
        <w:autoSpaceDE w:val="0"/>
        <w:autoSpaceDN w:val="0"/>
        <w:adjustRightInd w:val="0"/>
        <w:spacing w:line="480" w:lineRule="auto"/>
      </w:pPr>
      <w:r w:rsidRPr="00226E27">
        <w:lastRenderedPageBreak/>
        <w:t>Concluding Quote by Gary Gensler about the financial Crisis, “But, you know, is it our global imbalances, is it poor underwriting practices, is it credit default swaps, is it poor underwriting standards, where the investment banks were sort of shoveling in and shoveling out?  But I think the derivatives paid a very central role to this mortgage underwriting chain through credit derivatives.  “</w:t>
      </w:r>
    </w:p>
    <w:p w:rsidR="00574989" w:rsidRDefault="00574989" w:rsidP="00697B76">
      <w:pPr>
        <w:widowControl w:val="0"/>
        <w:autoSpaceDE w:val="0"/>
        <w:autoSpaceDN w:val="0"/>
        <w:adjustRightInd w:val="0"/>
        <w:spacing w:line="480" w:lineRule="auto"/>
      </w:pPr>
    </w:p>
    <w:p w:rsidR="00697B76" w:rsidRPr="00574989" w:rsidRDefault="00574989" w:rsidP="00697B76">
      <w:pPr>
        <w:widowControl w:val="0"/>
        <w:autoSpaceDE w:val="0"/>
        <w:autoSpaceDN w:val="0"/>
        <w:adjustRightInd w:val="0"/>
        <w:spacing w:line="480" w:lineRule="auto"/>
        <w:rPr>
          <w:sz w:val="16"/>
        </w:rPr>
      </w:pPr>
      <w:proofErr w:type="gramStart"/>
      <w:r w:rsidRPr="00574989">
        <w:rPr>
          <w:sz w:val="16"/>
        </w:rPr>
        <w:t>4815-7003-8790, v.</w:t>
      </w:r>
      <w:proofErr w:type="gramEnd"/>
      <w:r w:rsidRPr="00574989">
        <w:rPr>
          <w:sz w:val="16"/>
        </w:rPr>
        <w:t xml:space="preserve">  1</w:t>
      </w:r>
    </w:p>
    <w:sectPr w:rsidR="00697B76" w:rsidRPr="00574989" w:rsidSect="007F0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altName w:val="Times New Roman"/>
    <w:panose1 w:val="00000000000000000000"/>
    <w:charset w:val="4D"/>
    <w:family w:val="roman"/>
    <w:notTrueType/>
    <w:pitch w:val="default"/>
    <w:sig w:usb0="00001081" w:usb1="009E9E00" w:usb2="0012E7B0" w:usb3="94BCB218" w:csb0="BFFF77B0" w:csb1="0000002C"/>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D45"/>
    <w:multiLevelType w:val="hybridMultilevel"/>
    <w:tmpl w:val="CE74F4B0"/>
    <w:lvl w:ilvl="0" w:tplc="C2A0F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73860"/>
    <w:multiLevelType w:val="hybridMultilevel"/>
    <w:tmpl w:val="8B4EDADA"/>
    <w:lvl w:ilvl="0" w:tplc="D98EB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6E3BA0"/>
    <w:multiLevelType w:val="hybridMultilevel"/>
    <w:tmpl w:val="6E148234"/>
    <w:lvl w:ilvl="0" w:tplc="D7C2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4357"/>
    <w:multiLevelType w:val="hybridMultilevel"/>
    <w:tmpl w:val="A71A3AD6"/>
    <w:lvl w:ilvl="0" w:tplc="23527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D038DB"/>
    <w:multiLevelType w:val="hybridMultilevel"/>
    <w:tmpl w:val="E5B25DCE"/>
    <w:lvl w:ilvl="0" w:tplc="0DB89706">
      <w:start w:val="20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9E16CF"/>
    <w:multiLevelType w:val="hybridMultilevel"/>
    <w:tmpl w:val="F710C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8715D"/>
    <w:multiLevelType w:val="hybridMultilevel"/>
    <w:tmpl w:val="2F40F6B0"/>
    <w:lvl w:ilvl="0" w:tplc="139C8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A7D49"/>
    <w:multiLevelType w:val="hybridMultilevel"/>
    <w:tmpl w:val="8F3A2A9E"/>
    <w:lvl w:ilvl="0" w:tplc="0B08A2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984D79"/>
    <w:multiLevelType w:val="hybridMultilevel"/>
    <w:tmpl w:val="8B0A8E2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0A31CD"/>
    <w:multiLevelType w:val="hybridMultilevel"/>
    <w:tmpl w:val="F380FE2E"/>
    <w:lvl w:ilvl="0" w:tplc="D82CB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954394"/>
    <w:multiLevelType w:val="hybridMultilevel"/>
    <w:tmpl w:val="7F74FCF4"/>
    <w:lvl w:ilvl="0" w:tplc="6054E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366073"/>
    <w:multiLevelType w:val="hybridMultilevel"/>
    <w:tmpl w:val="5BE60C8E"/>
    <w:lvl w:ilvl="0" w:tplc="A03A7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5228F"/>
    <w:multiLevelType w:val="hybridMultilevel"/>
    <w:tmpl w:val="68CCEA56"/>
    <w:lvl w:ilvl="0" w:tplc="341ED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1E1B84"/>
    <w:multiLevelType w:val="hybridMultilevel"/>
    <w:tmpl w:val="316A0A5C"/>
    <w:lvl w:ilvl="0" w:tplc="3D1254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4675B3"/>
    <w:multiLevelType w:val="hybridMultilevel"/>
    <w:tmpl w:val="90D824E6"/>
    <w:lvl w:ilvl="0" w:tplc="1AFA38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64D734A"/>
    <w:multiLevelType w:val="hybridMultilevel"/>
    <w:tmpl w:val="05002F28"/>
    <w:lvl w:ilvl="0" w:tplc="FEA6B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E86569"/>
    <w:multiLevelType w:val="hybridMultilevel"/>
    <w:tmpl w:val="64DCC308"/>
    <w:lvl w:ilvl="0" w:tplc="E6B2FA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623ED5"/>
    <w:multiLevelType w:val="hybridMultilevel"/>
    <w:tmpl w:val="F2BCB2FE"/>
    <w:lvl w:ilvl="0" w:tplc="5E80B6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DDB28A8"/>
    <w:multiLevelType w:val="hybridMultilevel"/>
    <w:tmpl w:val="0C58D6AE"/>
    <w:lvl w:ilvl="0" w:tplc="4DF2A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363992"/>
    <w:multiLevelType w:val="hybridMultilevel"/>
    <w:tmpl w:val="94646620"/>
    <w:lvl w:ilvl="0" w:tplc="858A8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07CB9"/>
    <w:multiLevelType w:val="hybridMultilevel"/>
    <w:tmpl w:val="CCF20CB8"/>
    <w:lvl w:ilvl="0" w:tplc="DD709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F20AAA"/>
    <w:multiLevelType w:val="hybridMultilevel"/>
    <w:tmpl w:val="A0F8E380"/>
    <w:lvl w:ilvl="0" w:tplc="B4A258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9D0EF3"/>
    <w:multiLevelType w:val="hybridMultilevel"/>
    <w:tmpl w:val="8A56AB18"/>
    <w:lvl w:ilvl="0" w:tplc="7BE8F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340F27"/>
    <w:multiLevelType w:val="hybridMultilevel"/>
    <w:tmpl w:val="F3D24B58"/>
    <w:lvl w:ilvl="0" w:tplc="C302C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976B8"/>
    <w:multiLevelType w:val="hybridMultilevel"/>
    <w:tmpl w:val="3CC49EAE"/>
    <w:lvl w:ilvl="0" w:tplc="43D6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237A6"/>
    <w:multiLevelType w:val="hybridMultilevel"/>
    <w:tmpl w:val="69D8EBB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731843"/>
    <w:multiLevelType w:val="hybridMultilevel"/>
    <w:tmpl w:val="9970C438"/>
    <w:lvl w:ilvl="0" w:tplc="A9B65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4A34E1"/>
    <w:multiLevelType w:val="hybridMultilevel"/>
    <w:tmpl w:val="FB5A66EC"/>
    <w:lvl w:ilvl="0" w:tplc="0FF2F3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F06EEB"/>
    <w:multiLevelType w:val="hybridMultilevel"/>
    <w:tmpl w:val="423A3026"/>
    <w:lvl w:ilvl="0" w:tplc="D2080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1"/>
  </w:num>
  <w:num w:numId="4">
    <w:abstractNumId w:val="19"/>
  </w:num>
  <w:num w:numId="5">
    <w:abstractNumId w:val="8"/>
  </w:num>
  <w:num w:numId="6">
    <w:abstractNumId w:val="26"/>
  </w:num>
  <w:num w:numId="7">
    <w:abstractNumId w:val="12"/>
  </w:num>
  <w:num w:numId="8">
    <w:abstractNumId w:val="7"/>
  </w:num>
  <w:num w:numId="9">
    <w:abstractNumId w:val="14"/>
  </w:num>
  <w:num w:numId="10">
    <w:abstractNumId w:val="13"/>
  </w:num>
  <w:num w:numId="11">
    <w:abstractNumId w:val="22"/>
  </w:num>
  <w:num w:numId="12">
    <w:abstractNumId w:val="20"/>
  </w:num>
  <w:num w:numId="13">
    <w:abstractNumId w:val="18"/>
  </w:num>
  <w:num w:numId="14">
    <w:abstractNumId w:val="28"/>
  </w:num>
  <w:num w:numId="15">
    <w:abstractNumId w:val="16"/>
  </w:num>
  <w:num w:numId="16">
    <w:abstractNumId w:val="3"/>
  </w:num>
  <w:num w:numId="17">
    <w:abstractNumId w:val="17"/>
  </w:num>
  <w:num w:numId="18">
    <w:abstractNumId w:val="1"/>
  </w:num>
  <w:num w:numId="19">
    <w:abstractNumId w:val="9"/>
  </w:num>
  <w:num w:numId="20">
    <w:abstractNumId w:val="10"/>
  </w:num>
  <w:num w:numId="21">
    <w:abstractNumId w:val="27"/>
  </w:num>
  <w:num w:numId="22">
    <w:abstractNumId w:val="25"/>
  </w:num>
  <w:num w:numId="23">
    <w:abstractNumId w:val="15"/>
  </w:num>
  <w:num w:numId="24">
    <w:abstractNumId w:val="21"/>
  </w:num>
  <w:num w:numId="25">
    <w:abstractNumId w:val="23"/>
  </w:num>
  <w:num w:numId="26">
    <w:abstractNumId w:val="0"/>
  </w:num>
  <w:num w:numId="27">
    <w:abstractNumId w:val="24"/>
  </w:num>
  <w:num w:numId="28">
    <w:abstractNumId w:val="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BA4"/>
    <w:rsid w:val="0004232C"/>
    <w:rsid w:val="000D3A1B"/>
    <w:rsid w:val="000E132B"/>
    <w:rsid w:val="001206E5"/>
    <w:rsid w:val="00193412"/>
    <w:rsid w:val="001D7E2A"/>
    <w:rsid w:val="002165BE"/>
    <w:rsid w:val="00226E27"/>
    <w:rsid w:val="003E4A6A"/>
    <w:rsid w:val="00410C51"/>
    <w:rsid w:val="0047219E"/>
    <w:rsid w:val="004C2BF2"/>
    <w:rsid w:val="00574989"/>
    <w:rsid w:val="00581F70"/>
    <w:rsid w:val="005D79E9"/>
    <w:rsid w:val="00676CDF"/>
    <w:rsid w:val="00697B76"/>
    <w:rsid w:val="0074312A"/>
    <w:rsid w:val="00750B8C"/>
    <w:rsid w:val="007A0B23"/>
    <w:rsid w:val="007A3310"/>
    <w:rsid w:val="007F0109"/>
    <w:rsid w:val="008E1852"/>
    <w:rsid w:val="009079D6"/>
    <w:rsid w:val="00915004"/>
    <w:rsid w:val="00954E8B"/>
    <w:rsid w:val="00AF51C7"/>
    <w:rsid w:val="00B50523"/>
    <w:rsid w:val="00C53294"/>
    <w:rsid w:val="00CB31BB"/>
    <w:rsid w:val="00D02A95"/>
    <w:rsid w:val="00D14658"/>
    <w:rsid w:val="00D163DA"/>
    <w:rsid w:val="00DB04F4"/>
    <w:rsid w:val="00DD5BAC"/>
    <w:rsid w:val="00E34138"/>
    <w:rsid w:val="00EC6A39"/>
    <w:rsid w:val="00F02302"/>
    <w:rsid w:val="00FA2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A4"/>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D163D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63DA"/>
    <w:rPr>
      <w:rFonts w:ascii="Times New Roman" w:eastAsia="Times New Roman" w:hAnsi="Times New Roman" w:cs="Times New Roman"/>
      <w:b/>
      <w:bCs/>
      <w:sz w:val="20"/>
      <w:szCs w:val="20"/>
    </w:rPr>
  </w:style>
  <w:style w:type="paragraph" w:styleId="ListParagraph">
    <w:name w:val="List Paragraph"/>
    <w:basedOn w:val="Normal"/>
    <w:uiPriority w:val="34"/>
    <w:qFormat/>
    <w:rsid w:val="0047219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2AC4-4205-4998-860E-26A79C71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rschulte</dc:creator>
  <cp:lastModifiedBy>rschulte</cp:lastModifiedBy>
  <cp:revision>10</cp:revision>
  <cp:lastPrinted>2010-06-22T17:25:00Z</cp:lastPrinted>
  <dcterms:created xsi:type="dcterms:W3CDTF">2010-06-22T12:25:00Z</dcterms:created>
  <dcterms:modified xsi:type="dcterms:W3CDTF">2010-06-23T20:20:00Z</dcterms:modified>
</cp:coreProperties>
</file>