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06F" w:rsidRPr="00A61D74" w:rsidRDefault="00F7406F" w:rsidP="00F7406F">
      <w:pPr>
        <w:spacing w:after="0"/>
        <w:jc w:val="center"/>
        <w:rPr>
          <w:rFonts w:asciiTheme="majorHAnsi" w:hAnsiTheme="majorHAnsi"/>
        </w:rPr>
      </w:pPr>
      <w:r w:rsidRPr="00A61D74">
        <w:rPr>
          <w:rFonts w:asciiTheme="majorHAnsi" w:hAnsiTheme="majorHAnsi"/>
          <w:b/>
        </w:rPr>
        <w:t>MEMORANDUM FOR THE RECORD</w:t>
      </w:r>
    </w:p>
    <w:p w:rsidR="00F7406F" w:rsidRPr="00A61D74" w:rsidRDefault="00F7406F" w:rsidP="00F7406F">
      <w:pPr>
        <w:spacing w:after="0"/>
        <w:rPr>
          <w:rFonts w:asciiTheme="majorHAnsi" w:hAnsiTheme="majorHAnsi"/>
        </w:rPr>
      </w:pPr>
    </w:p>
    <w:p w:rsidR="00EE7DF6" w:rsidRDefault="00EE7DF6" w:rsidP="00F7406F">
      <w:pPr>
        <w:spacing w:after="0"/>
        <w:rPr>
          <w:rFonts w:asciiTheme="majorHAnsi" w:hAnsiTheme="majorHAnsi"/>
          <w:u w:val="single"/>
        </w:rPr>
      </w:pPr>
    </w:p>
    <w:p w:rsidR="00EE7DF6" w:rsidRDefault="00EE7DF6" w:rsidP="00EE7DF6">
      <w:pPr>
        <w:spacing w:after="0"/>
        <w:rPr>
          <w:rFonts w:asciiTheme="majorHAnsi" w:hAnsiTheme="majorHAnsi"/>
        </w:rPr>
      </w:pPr>
      <w:r>
        <w:rPr>
          <w:rFonts w:asciiTheme="majorHAnsi" w:hAnsiTheme="majorHAnsi"/>
          <w:u w:val="single"/>
        </w:rPr>
        <w:t>Event</w:t>
      </w:r>
      <w:r w:rsidRPr="00EE7DF6">
        <w:rPr>
          <w:rFonts w:asciiTheme="majorHAnsi" w:hAnsiTheme="majorHAnsi"/>
        </w:rPr>
        <w:t xml:space="preserve">:  </w:t>
      </w:r>
      <w:r>
        <w:rPr>
          <w:rFonts w:asciiTheme="majorHAnsi" w:hAnsiTheme="majorHAnsi"/>
        </w:rPr>
        <w:t xml:space="preserve">Jeffrey H. Lane, executive vice president and general counsel,  </w:t>
      </w:r>
    </w:p>
    <w:p w:rsidR="00EE7DF6" w:rsidRPr="00A61D74" w:rsidRDefault="00EE7DF6" w:rsidP="00EE7DF6">
      <w:pPr>
        <w:spacing w:after="0"/>
        <w:rPr>
          <w:rFonts w:asciiTheme="majorHAnsi" w:hAnsiTheme="majorHAnsi"/>
        </w:rPr>
      </w:pPr>
      <w:r>
        <w:rPr>
          <w:rFonts w:asciiTheme="majorHAnsi" w:hAnsiTheme="majorHAnsi"/>
        </w:rPr>
        <w:t xml:space="preserve">              Mortgage Guaranty Insurance Company</w:t>
      </w:r>
    </w:p>
    <w:p w:rsidR="00EE7DF6" w:rsidRDefault="00EE7DF6" w:rsidP="00F7406F">
      <w:pPr>
        <w:spacing w:after="0"/>
        <w:rPr>
          <w:rFonts w:asciiTheme="majorHAnsi" w:hAnsiTheme="majorHAnsi"/>
          <w:u w:val="single"/>
        </w:rPr>
      </w:pPr>
    </w:p>
    <w:p w:rsidR="00F7406F" w:rsidRPr="00A61D74" w:rsidRDefault="00F7406F" w:rsidP="00EE7DF6">
      <w:pPr>
        <w:spacing w:after="0"/>
        <w:rPr>
          <w:rFonts w:asciiTheme="majorHAnsi" w:hAnsiTheme="majorHAnsi"/>
        </w:rPr>
      </w:pPr>
      <w:r w:rsidRPr="00A61D74">
        <w:rPr>
          <w:rFonts w:asciiTheme="majorHAnsi" w:hAnsiTheme="majorHAnsi"/>
          <w:u w:val="single"/>
        </w:rPr>
        <w:t>Type of Event:</w:t>
      </w:r>
      <w:r w:rsidRPr="00A61D74">
        <w:rPr>
          <w:rFonts w:asciiTheme="majorHAnsi" w:hAnsiTheme="majorHAnsi"/>
        </w:rPr>
        <w:t xml:space="preserve">  </w:t>
      </w:r>
      <w:r w:rsidR="00EE7DF6">
        <w:rPr>
          <w:rFonts w:asciiTheme="majorHAnsi" w:hAnsiTheme="majorHAnsi"/>
        </w:rPr>
        <w:t xml:space="preserve">Group phone interview </w:t>
      </w:r>
    </w:p>
    <w:p w:rsidR="00F7406F" w:rsidRPr="00A61D74" w:rsidRDefault="00F7406F" w:rsidP="00F7406F">
      <w:pPr>
        <w:spacing w:after="0"/>
        <w:rPr>
          <w:rFonts w:asciiTheme="majorHAnsi" w:hAnsiTheme="majorHAnsi"/>
        </w:rPr>
      </w:pPr>
    </w:p>
    <w:p w:rsidR="00F7406F" w:rsidRPr="00A61D74" w:rsidRDefault="00F7406F" w:rsidP="00F7406F">
      <w:pPr>
        <w:spacing w:after="0"/>
        <w:rPr>
          <w:rFonts w:asciiTheme="majorHAnsi" w:hAnsiTheme="majorHAnsi"/>
        </w:rPr>
      </w:pPr>
      <w:r w:rsidRPr="00A61D74">
        <w:rPr>
          <w:rFonts w:asciiTheme="majorHAnsi" w:hAnsiTheme="majorHAnsi"/>
          <w:u w:val="single"/>
        </w:rPr>
        <w:t>Date of Event:</w:t>
      </w:r>
      <w:r w:rsidRPr="00A61D74">
        <w:rPr>
          <w:rFonts w:asciiTheme="majorHAnsi" w:hAnsiTheme="majorHAnsi"/>
        </w:rPr>
        <w:t xml:space="preserve">  September 2</w:t>
      </w:r>
      <w:r>
        <w:rPr>
          <w:rFonts w:asciiTheme="majorHAnsi" w:hAnsiTheme="majorHAnsi"/>
        </w:rPr>
        <w:t>3</w:t>
      </w:r>
      <w:r w:rsidRPr="00A61D74">
        <w:rPr>
          <w:rFonts w:asciiTheme="majorHAnsi" w:hAnsiTheme="majorHAnsi"/>
        </w:rPr>
        <w:t>, 2010</w:t>
      </w:r>
    </w:p>
    <w:p w:rsidR="00F7406F" w:rsidRPr="00A61D74" w:rsidRDefault="00F7406F" w:rsidP="00F7406F">
      <w:pPr>
        <w:spacing w:after="0"/>
        <w:rPr>
          <w:rFonts w:asciiTheme="majorHAnsi" w:hAnsiTheme="majorHAnsi"/>
        </w:rPr>
      </w:pPr>
    </w:p>
    <w:p w:rsidR="00F7406F" w:rsidRPr="00A61D74" w:rsidRDefault="00F7406F" w:rsidP="00F7406F">
      <w:pPr>
        <w:spacing w:after="0"/>
        <w:rPr>
          <w:rFonts w:asciiTheme="majorHAnsi" w:hAnsiTheme="majorHAnsi"/>
        </w:rPr>
      </w:pPr>
      <w:r w:rsidRPr="00A61D74">
        <w:rPr>
          <w:rFonts w:asciiTheme="majorHAnsi" w:hAnsiTheme="majorHAnsi"/>
          <w:u w:val="single"/>
        </w:rPr>
        <w:t>Team Leader:</w:t>
      </w:r>
      <w:r w:rsidRPr="00A61D74">
        <w:rPr>
          <w:rFonts w:asciiTheme="majorHAnsi" w:hAnsiTheme="majorHAnsi"/>
        </w:rPr>
        <w:t xml:space="preserve">  Tom Krebs</w:t>
      </w:r>
    </w:p>
    <w:p w:rsidR="00F7406F" w:rsidRPr="00A61D74" w:rsidRDefault="00F7406F" w:rsidP="00F7406F">
      <w:pPr>
        <w:spacing w:after="0"/>
        <w:rPr>
          <w:rFonts w:asciiTheme="majorHAnsi" w:hAnsiTheme="majorHAnsi"/>
        </w:rPr>
      </w:pPr>
    </w:p>
    <w:p w:rsidR="00F7406F" w:rsidRPr="00A61D74" w:rsidRDefault="00F7406F" w:rsidP="00F7406F">
      <w:pPr>
        <w:spacing w:after="0"/>
        <w:rPr>
          <w:rFonts w:asciiTheme="majorHAnsi" w:hAnsiTheme="majorHAnsi"/>
        </w:rPr>
      </w:pPr>
      <w:r w:rsidRPr="00A61D74">
        <w:rPr>
          <w:rFonts w:asciiTheme="majorHAnsi" w:hAnsiTheme="majorHAnsi"/>
          <w:u w:val="single"/>
        </w:rPr>
        <w:t>Location:</w:t>
      </w:r>
      <w:r w:rsidRPr="00A61D74">
        <w:rPr>
          <w:rFonts w:asciiTheme="majorHAnsi" w:hAnsiTheme="majorHAnsi"/>
        </w:rPr>
        <w:t xml:space="preserve">  FCIC Office</w:t>
      </w:r>
      <w:r w:rsidR="00EE7DF6">
        <w:rPr>
          <w:rFonts w:asciiTheme="majorHAnsi" w:hAnsiTheme="majorHAnsi"/>
        </w:rPr>
        <w:t xml:space="preserve"> at 1717 Pennsylvania Ave., N.W., Washington, D.C.</w:t>
      </w:r>
    </w:p>
    <w:p w:rsidR="00F7406F" w:rsidRPr="00A61D74" w:rsidRDefault="00F7406F" w:rsidP="00F7406F">
      <w:pPr>
        <w:spacing w:after="0"/>
        <w:rPr>
          <w:rFonts w:asciiTheme="majorHAnsi" w:hAnsiTheme="majorHAnsi"/>
        </w:rPr>
      </w:pPr>
    </w:p>
    <w:p w:rsidR="00F7406F" w:rsidRPr="00A61D74" w:rsidRDefault="00F7406F" w:rsidP="00F7406F">
      <w:pPr>
        <w:spacing w:after="0"/>
        <w:rPr>
          <w:rFonts w:asciiTheme="majorHAnsi" w:hAnsiTheme="majorHAnsi"/>
          <w:u w:val="single"/>
        </w:rPr>
      </w:pPr>
      <w:r w:rsidRPr="00A61D74">
        <w:rPr>
          <w:rFonts w:asciiTheme="majorHAnsi" w:hAnsiTheme="majorHAnsi"/>
          <w:u w:val="single"/>
        </w:rPr>
        <w:t>Participants – Non-Commission:</w:t>
      </w:r>
    </w:p>
    <w:p w:rsidR="00F7406F" w:rsidRPr="00A61D74" w:rsidRDefault="00F7406F" w:rsidP="00F7406F">
      <w:pPr>
        <w:spacing w:after="0"/>
        <w:rPr>
          <w:rFonts w:asciiTheme="majorHAnsi" w:hAnsiTheme="majorHAnsi"/>
        </w:rPr>
      </w:pPr>
    </w:p>
    <w:p w:rsidR="00F7406F" w:rsidRPr="00F7406F" w:rsidRDefault="00F7406F" w:rsidP="00F7406F">
      <w:pPr>
        <w:pStyle w:val="ListParagraph"/>
        <w:numPr>
          <w:ilvl w:val="0"/>
          <w:numId w:val="1"/>
        </w:numPr>
        <w:rPr>
          <w:rFonts w:asciiTheme="majorHAnsi" w:hAnsiTheme="majorHAnsi"/>
          <w:sz w:val="22"/>
          <w:szCs w:val="22"/>
        </w:rPr>
      </w:pPr>
      <w:r w:rsidRPr="00F7406F">
        <w:rPr>
          <w:rFonts w:asciiTheme="majorHAnsi" w:hAnsiTheme="majorHAnsi"/>
          <w:sz w:val="22"/>
          <w:szCs w:val="22"/>
        </w:rPr>
        <w:t xml:space="preserve">Jeffrey H. Lane </w:t>
      </w:r>
    </w:p>
    <w:p w:rsidR="00F7406F" w:rsidRPr="00A61D74" w:rsidRDefault="00F7406F" w:rsidP="00F7406F">
      <w:pPr>
        <w:spacing w:after="0"/>
        <w:ind w:left="360"/>
        <w:rPr>
          <w:rFonts w:asciiTheme="majorHAnsi" w:hAnsiTheme="majorHAnsi"/>
        </w:rPr>
      </w:pPr>
    </w:p>
    <w:p w:rsidR="00F7406F" w:rsidRPr="00A61D74" w:rsidRDefault="00F7406F" w:rsidP="00F7406F">
      <w:pPr>
        <w:spacing w:after="0"/>
        <w:rPr>
          <w:rFonts w:asciiTheme="majorHAnsi" w:hAnsiTheme="majorHAnsi"/>
          <w:u w:val="single"/>
        </w:rPr>
      </w:pPr>
      <w:r w:rsidRPr="00A61D74">
        <w:rPr>
          <w:rFonts w:asciiTheme="majorHAnsi" w:hAnsiTheme="majorHAnsi"/>
          <w:u w:val="single"/>
        </w:rPr>
        <w:t>Participants –Commission:</w:t>
      </w:r>
    </w:p>
    <w:p w:rsidR="00F7406F" w:rsidRPr="00A61D74" w:rsidRDefault="00F7406F" w:rsidP="00F7406F">
      <w:pPr>
        <w:spacing w:after="0"/>
        <w:rPr>
          <w:rFonts w:asciiTheme="majorHAnsi" w:hAnsiTheme="majorHAnsi"/>
        </w:rPr>
      </w:pPr>
    </w:p>
    <w:p w:rsidR="00F7406F" w:rsidRPr="00A61D74" w:rsidRDefault="00F7406F" w:rsidP="00F7406F">
      <w:pPr>
        <w:pStyle w:val="ListParagraph"/>
        <w:numPr>
          <w:ilvl w:val="0"/>
          <w:numId w:val="1"/>
        </w:numPr>
        <w:rPr>
          <w:rFonts w:asciiTheme="majorHAnsi" w:hAnsiTheme="majorHAnsi"/>
        </w:rPr>
      </w:pPr>
      <w:r w:rsidRPr="00A61D74">
        <w:rPr>
          <w:rFonts w:asciiTheme="majorHAnsi" w:hAnsiTheme="majorHAnsi"/>
        </w:rPr>
        <w:t>Tom Krebs</w:t>
      </w:r>
    </w:p>
    <w:p w:rsidR="00F7406F" w:rsidRDefault="00F7406F" w:rsidP="00F7406F">
      <w:pPr>
        <w:pStyle w:val="ListParagraph"/>
        <w:numPr>
          <w:ilvl w:val="0"/>
          <w:numId w:val="1"/>
        </w:numPr>
        <w:rPr>
          <w:rFonts w:asciiTheme="majorHAnsi" w:hAnsiTheme="majorHAnsi"/>
        </w:rPr>
      </w:pPr>
      <w:r w:rsidRPr="00A61D74">
        <w:rPr>
          <w:rFonts w:asciiTheme="majorHAnsi" w:hAnsiTheme="majorHAnsi"/>
        </w:rPr>
        <w:t>Vic Cunicelli</w:t>
      </w:r>
    </w:p>
    <w:p w:rsidR="00F7406F" w:rsidRPr="00F7406F" w:rsidRDefault="00F7406F" w:rsidP="00F7406F">
      <w:pPr>
        <w:pStyle w:val="ListParagraph"/>
        <w:numPr>
          <w:ilvl w:val="0"/>
          <w:numId w:val="1"/>
        </w:numPr>
        <w:rPr>
          <w:rFonts w:asciiTheme="majorHAnsi" w:hAnsiTheme="majorHAnsi"/>
        </w:rPr>
      </w:pPr>
      <w:r>
        <w:rPr>
          <w:rFonts w:asciiTheme="majorHAnsi" w:hAnsiTheme="majorHAnsi"/>
        </w:rPr>
        <w:t>Tom Borgers</w:t>
      </w:r>
    </w:p>
    <w:p w:rsidR="00F7406F" w:rsidRDefault="00F7406F" w:rsidP="00F7406F">
      <w:pPr>
        <w:pStyle w:val="ListParagraph"/>
        <w:numPr>
          <w:ilvl w:val="0"/>
          <w:numId w:val="1"/>
        </w:numPr>
        <w:rPr>
          <w:rFonts w:asciiTheme="majorHAnsi" w:hAnsiTheme="majorHAnsi"/>
        </w:rPr>
      </w:pPr>
      <w:r>
        <w:rPr>
          <w:rFonts w:asciiTheme="majorHAnsi" w:hAnsiTheme="majorHAnsi"/>
        </w:rPr>
        <w:t>Troy Burrus</w:t>
      </w:r>
    </w:p>
    <w:p w:rsidR="00F7406F" w:rsidRDefault="00F7406F" w:rsidP="00F7406F">
      <w:pPr>
        <w:pStyle w:val="ListParagraph"/>
        <w:numPr>
          <w:ilvl w:val="0"/>
          <w:numId w:val="1"/>
        </w:numPr>
        <w:rPr>
          <w:rFonts w:asciiTheme="majorHAnsi" w:hAnsiTheme="majorHAnsi"/>
        </w:rPr>
      </w:pPr>
      <w:r>
        <w:rPr>
          <w:rFonts w:asciiTheme="majorHAnsi" w:hAnsiTheme="majorHAnsi"/>
        </w:rPr>
        <w:t>George Wahl</w:t>
      </w:r>
    </w:p>
    <w:p w:rsidR="00F7406F" w:rsidRDefault="00F7406F" w:rsidP="00F7406F">
      <w:pPr>
        <w:pStyle w:val="ListParagraph"/>
        <w:numPr>
          <w:ilvl w:val="0"/>
          <w:numId w:val="1"/>
        </w:numPr>
        <w:rPr>
          <w:rFonts w:asciiTheme="majorHAnsi" w:hAnsiTheme="majorHAnsi"/>
        </w:rPr>
      </w:pPr>
      <w:r>
        <w:rPr>
          <w:rFonts w:asciiTheme="majorHAnsi" w:hAnsiTheme="majorHAnsi"/>
        </w:rPr>
        <w:t>Jon Armstrong</w:t>
      </w:r>
    </w:p>
    <w:p w:rsidR="00F7406F" w:rsidRPr="00A61D74" w:rsidRDefault="00F7406F" w:rsidP="00F7406F">
      <w:pPr>
        <w:spacing w:after="0"/>
        <w:rPr>
          <w:rFonts w:asciiTheme="majorHAnsi" w:hAnsiTheme="majorHAnsi"/>
        </w:rPr>
      </w:pPr>
    </w:p>
    <w:p w:rsidR="00F7406F" w:rsidRPr="00A61D74" w:rsidRDefault="00F7406F" w:rsidP="00F7406F">
      <w:pPr>
        <w:spacing w:after="0"/>
        <w:rPr>
          <w:rFonts w:asciiTheme="majorHAnsi" w:hAnsiTheme="majorHAnsi"/>
        </w:rPr>
      </w:pPr>
      <w:r w:rsidRPr="00A61D74">
        <w:rPr>
          <w:rFonts w:asciiTheme="majorHAnsi" w:hAnsiTheme="majorHAnsi"/>
          <w:u w:val="single"/>
        </w:rPr>
        <w:t>MFR Prepared By:</w:t>
      </w:r>
      <w:r w:rsidRPr="00A61D74">
        <w:rPr>
          <w:rFonts w:asciiTheme="majorHAnsi" w:hAnsiTheme="majorHAnsi"/>
        </w:rPr>
        <w:t xml:space="preserve">  Jon Armstrong</w:t>
      </w:r>
    </w:p>
    <w:p w:rsidR="00F7406F" w:rsidRPr="00A61D74" w:rsidRDefault="00F7406F" w:rsidP="00F7406F">
      <w:pPr>
        <w:spacing w:after="0"/>
        <w:rPr>
          <w:rFonts w:asciiTheme="majorHAnsi" w:hAnsiTheme="majorHAnsi"/>
        </w:rPr>
      </w:pPr>
    </w:p>
    <w:p w:rsidR="00F7406F" w:rsidRPr="00A61D74" w:rsidRDefault="00F7406F" w:rsidP="00F7406F">
      <w:pPr>
        <w:spacing w:after="0"/>
        <w:rPr>
          <w:rFonts w:asciiTheme="majorHAnsi" w:hAnsiTheme="majorHAnsi"/>
        </w:rPr>
      </w:pPr>
      <w:r w:rsidRPr="00A61D74">
        <w:rPr>
          <w:rFonts w:asciiTheme="majorHAnsi" w:hAnsiTheme="majorHAnsi"/>
          <w:u w:val="single"/>
        </w:rPr>
        <w:t>Date of MFR:</w:t>
      </w:r>
      <w:r w:rsidRPr="00A61D74">
        <w:rPr>
          <w:rFonts w:asciiTheme="majorHAnsi" w:hAnsiTheme="majorHAnsi"/>
        </w:rPr>
        <w:t xml:space="preserve">  </w:t>
      </w:r>
      <w:r>
        <w:rPr>
          <w:rFonts w:asciiTheme="majorHAnsi" w:hAnsiTheme="majorHAnsi"/>
        </w:rPr>
        <w:t>October 1</w:t>
      </w:r>
      <w:r w:rsidRPr="00A61D74">
        <w:rPr>
          <w:rFonts w:asciiTheme="majorHAnsi" w:hAnsiTheme="majorHAnsi"/>
        </w:rPr>
        <w:t>, 2010</w:t>
      </w:r>
    </w:p>
    <w:p w:rsidR="00F7406F" w:rsidRPr="00F7406F" w:rsidRDefault="00F7406F" w:rsidP="00F7406F">
      <w:pPr>
        <w:spacing w:after="0"/>
        <w:rPr>
          <w:rFonts w:asciiTheme="majorHAnsi" w:hAnsiTheme="majorHAnsi"/>
        </w:rPr>
      </w:pPr>
    </w:p>
    <w:p w:rsidR="00F7406F" w:rsidRPr="0026673C" w:rsidRDefault="0026673C" w:rsidP="00F7406F">
      <w:pPr>
        <w:spacing w:after="0"/>
        <w:rPr>
          <w:rFonts w:asciiTheme="majorHAnsi" w:hAnsiTheme="majorHAnsi"/>
        </w:rPr>
      </w:pPr>
      <w:r>
        <w:rPr>
          <w:rFonts w:asciiTheme="majorHAnsi" w:hAnsiTheme="majorHAnsi"/>
          <w:u w:val="single"/>
        </w:rPr>
        <w:t>Date Reviewed</w:t>
      </w:r>
      <w:r w:rsidRPr="0026673C">
        <w:rPr>
          <w:rFonts w:asciiTheme="majorHAnsi" w:hAnsiTheme="majorHAnsi"/>
        </w:rPr>
        <w:t>: December 3, 2010</w:t>
      </w:r>
    </w:p>
    <w:p w:rsidR="0026673C" w:rsidRDefault="0026673C" w:rsidP="00F7406F">
      <w:pPr>
        <w:spacing w:after="0"/>
        <w:rPr>
          <w:rFonts w:asciiTheme="majorHAnsi" w:hAnsiTheme="majorHAnsi"/>
          <w:u w:val="single"/>
        </w:rPr>
      </w:pPr>
    </w:p>
    <w:p w:rsidR="000E092D" w:rsidRDefault="000E092D" w:rsidP="00F7406F">
      <w:pPr>
        <w:spacing w:after="0"/>
        <w:rPr>
          <w:b/>
          <w:color w:val="FF0000"/>
        </w:rPr>
      </w:pPr>
    </w:p>
    <w:p w:rsidR="00593255" w:rsidRPr="00593255" w:rsidRDefault="000E092D" w:rsidP="00593255">
      <w:pPr>
        <w:spacing w:after="0" w:line="240" w:lineRule="auto"/>
        <w:rPr>
          <w:rFonts w:asciiTheme="majorHAnsi" w:hAnsiTheme="majorHAnsi"/>
          <w:color w:val="FF0000"/>
        </w:rPr>
      </w:pPr>
      <w:r w:rsidRPr="00593255">
        <w:rPr>
          <w:rFonts w:asciiTheme="majorHAnsi" w:hAnsiTheme="majorHAnsi"/>
          <w:b/>
          <w:color w:val="FF0000"/>
        </w:rPr>
        <w:t xml:space="preserve">Note:  This is a </w:t>
      </w:r>
      <w:r w:rsidR="00840C8C">
        <w:rPr>
          <w:rFonts w:asciiTheme="majorHAnsi" w:hAnsiTheme="majorHAnsi"/>
          <w:b/>
          <w:color w:val="FF0000"/>
        </w:rPr>
        <w:t xml:space="preserve">summary of the interview and the </w:t>
      </w:r>
      <w:r w:rsidR="00593255" w:rsidRPr="00593255">
        <w:rPr>
          <w:rFonts w:asciiTheme="majorHAnsi" w:hAnsiTheme="majorHAnsi"/>
          <w:b/>
          <w:color w:val="FF0000"/>
        </w:rPr>
        <w:t xml:space="preserve">dialogue </w:t>
      </w:r>
      <w:r w:rsidR="00840C8C">
        <w:rPr>
          <w:rFonts w:asciiTheme="majorHAnsi" w:hAnsiTheme="majorHAnsi"/>
          <w:b/>
          <w:color w:val="FF0000"/>
        </w:rPr>
        <w:t>is paraphrased. It</w:t>
      </w:r>
      <w:r w:rsidR="00593255" w:rsidRPr="00593255">
        <w:rPr>
          <w:rFonts w:asciiTheme="majorHAnsi" w:hAnsiTheme="majorHAnsi"/>
          <w:b/>
          <w:color w:val="FF0000"/>
        </w:rPr>
        <w:t xml:space="preserve"> is </w:t>
      </w:r>
      <w:r w:rsidR="00593255" w:rsidRPr="00593255">
        <w:rPr>
          <w:rFonts w:asciiTheme="majorHAnsi" w:hAnsiTheme="majorHAnsi"/>
          <w:b/>
          <w:color w:val="FF0000"/>
          <w:u w:val="single"/>
        </w:rPr>
        <w:t>not a transcript</w:t>
      </w:r>
      <w:r w:rsidR="00593255" w:rsidRPr="00593255">
        <w:rPr>
          <w:rFonts w:asciiTheme="majorHAnsi" w:hAnsiTheme="majorHAnsi"/>
          <w:b/>
          <w:color w:val="FF0000"/>
        </w:rPr>
        <w:t xml:space="preserve"> and should not be quoted as such.</w:t>
      </w:r>
    </w:p>
    <w:p w:rsidR="000E092D" w:rsidRDefault="000E092D" w:rsidP="00F7406F">
      <w:pPr>
        <w:spacing w:after="0"/>
        <w:rPr>
          <w:rFonts w:asciiTheme="majorHAnsi" w:hAnsiTheme="majorHAnsi"/>
          <w:u w:val="single"/>
        </w:rPr>
      </w:pPr>
      <w:r>
        <w:rPr>
          <w:b/>
          <w:color w:val="FF0000"/>
        </w:rPr>
        <w:t xml:space="preserve">  </w:t>
      </w:r>
    </w:p>
    <w:p w:rsidR="0026673C" w:rsidRPr="00F7406F" w:rsidRDefault="0026673C" w:rsidP="00F7406F">
      <w:pPr>
        <w:spacing w:after="0"/>
        <w:rPr>
          <w:rFonts w:asciiTheme="majorHAnsi" w:hAnsiTheme="majorHAnsi"/>
          <w:u w:val="single"/>
        </w:rPr>
      </w:pPr>
    </w:p>
    <w:p w:rsidR="008F0004" w:rsidRDefault="00913D65" w:rsidP="00F7406F">
      <w:pPr>
        <w:spacing w:after="0"/>
        <w:rPr>
          <w:rFonts w:asciiTheme="majorHAnsi" w:hAnsiTheme="majorHAnsi"/>
          <w:u w:val="single"/>
        </w:rPr>
      </w:pPr>
      <w:r w:rsidRPr="00F7406F">
        <w:rPr>
          <w:rFonts w:asciiTheme="majorHAnsi" w:hAnsiTheme="majorHAnsi"/>
          <w:u w:val="single"/>
        </w:rPr>
        <w:t>Overview of Private Mortgage Insurance (PMI) Process</w:t>
      </w:r>
    </w:p>
    <w:p w:rsidR="00B074A0" w:rsidRPr="00F7406F" w:rsidRDefault="00B074A0" w:rsidP="00F7406F">
      <w:pPr>
        <w:spacing w:after="0"/>
        <w:rPr>
          <w:rFonts w:asciiTheme="majorHAnsi" w:hAnsiTheme="majorHAnsi"/>
          <w:u w:val="single"/>
        </w:rPr>
      </w:pPr>
    </w:p>
    <w:p w:rsidR="008F0004" w:rsidRPr="00F7406F" w:rsidRDefault="00913D65">
      <w:pPr>
        <w:rPr>
          <w:rFonts w:asciiTheme="majorHAnsi" w:hAnsiTheme="majorHAnsi"/>
        </w:rPr>
      </w:pPr>
      <w:r w:rsidRPr="00F7406F">
        <w:rPr>
          <w:rFonts w:asciiTheme="majorHAnsi" w:hAnsiTheme="majorHAnsi"/>
        </w:rPr>
        <w:t xml:space="preserve">A lender is able to make a claim on a delinquent mortgage once the home goes into foreclosure.  </w:t>
      </w:r>
      <w:r w:rsidR="00F7406F" w:rsidRPr="00F7406F">
        <w:rPr>
          <w:rFonts w:asciiTheme="majorHAnsi" w:hAnsiTheme="majorHAnsi"/>
        </w:rPr>
        <w:t>MGIC’s</w:t>
      </w:r>
      <w:r w:rsidRPr="00F7406F">
        <w:rPr>
          <w:rFonts w:asciiTheme="majorHAnsi" w:hAnsiTheme="majorHAnsi"/>
        </w:rPr>
        <w:t xml:space="preserve"> main lenders were the GSEs and Wall Street investment banks. </w:t>
      </w:r>
      <w:r w:rsidR="00392129">
        <w:rPr>
          <w:rFonts w:asciiTheme="majorHAnsi" w:hAnsiTheme="majorHAnsi"/>
        </w:rPr>
        <w:t>The GSEs comprised t</w:t>
      </w:r>
      <w:r w:rsidRPr="00F7406F">
        <w:rPr>
          <w:rFonts w:asciiTheme="majorHAnsi" w:hAnsiTheme="majorHAnsi"/>
        </w:rPr>
        <w:t xml:space="preserve">wo-thirds of the </w:t>
      </w:r>
      <w:r w:rsidR="00F7406F" w:rsidRPr="00F7406F">
        <w:rPr>
          <w:rFonts w:asciiTheme="majorHAnsi" w:hAnsiTheme="majorHAnsi"/>
        </w:rPr>
        <w:t>MGIC’s</w:t>
      </w:r>
      <w:r w:rsidRPr="00F7406F">
        <w:rPr>
          <w:rFonts w:asciiTheme="majorHAnsi" w:hAnsiTheme="majorHAnsi"/>
        </w:rPr>
        <w:t xml:space="preserve"> business</w:t>
      </w:r>
      <w:r w:rsidR="00392129">
        <w:rPr>
          <w:rFonts w:asciiTheme="majorHAnsi" w:hAnsiTheme="majorHAnsi"/>
        </w:rPr>
        <w:t>.</w:t>
      </w:r>
      <w:r w:rsidRPr="00F7406F">
        <w:rPr>
          <w:rFonts w:asciiTheme="majorHAnsi" w:hAnsiTheme="majorHAnsi"/>
        </w:rPr>
        <w:t xml:space="preserve"> </w:t>
      </w:r>
    </w:p>
    <w:p w:rsidR="008F0004" w:rsidRPr="00F7406F" w:rsidRDefault="00913D65">
      <w:pPr>
        <w:rPr>
          <w:rFonts w:asciiTheme="majorHAnsi" w:hAnsiTheme="majorHAnsi"/>
        </w:rPr>
      </w:pPr>
      <w:r w:rsidRPr="00F7406F">
        <w:rPr>
          <w:rFonts w:asciiTheme="majorHAnsi" w:hAnsiTheme="majorHAnsi"/>
        </w:rPr>
        <w:lastRenderedPageBreak/>
        <w:t xml:space="preserve">Most of the claims that </w:t>
      </w:r>
      <w:r w:rsidR="00F7406F" w:rsidRPr="00F7406F">
        <w:rPr>
          <w:rFonts w:asciiTheme="majorHAnsi" w:hAnsiTheme="majorHAnsi"/>
        </w:rPr>
        <w:t>MGIC</w:t>
      </w:r>
      <w:r w:rsidRPr="00F7406F">
        <w:rPr>
          <w:rFonts w:asciiTheme="majorHAnsi" w:hAnsiTheme="majorHAnsi"/>
        </w:rPr>
        <w:t xml:space="preserve"> received were not made by the economic insurer or lender, but rather the party that serviced the loan for them.  These servicers typically filled out a form 30-60 days after the foreclosure.  </w:t>
      </w:r>
      <w:r w:rsidR="00F7406F" w:rsidRPr="00F7406F">
        <w:rPr>
          <w:rFonts w:asciiTheme="majorHAnsi" w:hAnsiTheme="majorHAnsi"/>
        </w:rPr>
        <w:t>MGIC</w:t>
      </w:r>
      <w:r w:rsidRPr="00F7406F">
        <w:rPr>
          <w:rFonts w:asciiTheme="majorHAnsi" w:hAnsiTheme="majorHAnsi"/>
        </w:rPr>
        <w:t xml:space="preserve"> then investigated the merits of the claim to determine if it was valid.  If it was determined that the claim is valid, </w:t>
      </w:r>
      <w:r w:rsidR="00F7406F">
        <w:rPr>
          <w:rFonts w:asciiTheme="majorHAnsi" w:hAnsiTheme="majorHAnsi"/>
        </w:rPr>
        <w:t>MGIC</w:t>
      </w:r>
      <w:r w:rsidRPr="00F7406F">
        <w:rPr>
          <w:rFonts w:asciiTheme="majorHAnsi" w:hAnsiTheme="majorHAnsi"/>
        </w:rPr>
        <w:t xml:space="preserve"> paid the claim.  </w:t>
      </w:r>
    </w:p>
    <w:p w:rsidR="008F0004" w:rsidRPr="00F7406F" w:rsidRDefault="00913D65">
      <w:pPr>
        <w:rPr>
          <w:rFonts w:asciiTheme="majorHAnsi" w:hAnsiTheme="majorHAnsi"/>
        </w:rPr>
      </w:pPr>
      <w:r w:rsidRPr="00F7406F">
        <w:rPr>
          <w:rFonts w:asciiTheme="majorHAnsi" w:hAnsiTheme="majorHAnsi"/>
        </w:rPr>
        <w:t xml:space="preserve">The PMI typically insured between 10% to 30% of the mortgage amount.  The coverage percentage received varied based on the LTV percentage of the loan.  For example a loan that had a LTV of 95% would typically receive coverage on 30% of the mortgage; a loan that had a 90% LTV loan would receive 25% coverage.  For the GSEs, the coverage percentage was intended to reduce their exposure to under 80%.  Under the GSE’s charter they could not purchase a loan with a LTV of greater than 80% unless that loan was made with a credit enhancement such as private mortgage insurance.  </w:t>
      </w:r>
    </w:p>
    <w:p w:rsidR="008F0004" w:rsidRPr="00F7406F" w:rsidRDefault="00913D65">
      <w:pPr>
        <w:rPr>
          <w:rFonts w:asciiTheme="majorHAnsi" w:hAnsiTheme="majorHAnsi"/>
        </w:rPr>
      </w:pPr>
      <w:r w:rsidRPr="00F7406F">
        <w:rPr>
          <w:rFonts w:asciiTheme="majorHAnsi" w:hAnsiTheme="majorHAnsi"/>
        </w:rPr>
        <w:t xml:space="preserve">The claim amount was composed of the principle of the mortgage at the time of foreclosure, the unpaid interest, and various foreclosure expenses.  </w:t>
      </w:r>
    </w:p>
    <w:p w:rsidR="008F0004" w:rsidRPr="00F7406F" w:rsidRDefault="00F7406F">
      <w:pPr>
        <w:rPr>
          <w:rFonts w:asciiTheme="majorHAnsi" w:hAnsiTheme="majorHAnsi"/>
        </w:rPr>
      </w:pPr>
      <w:r w:rsidRPr="00F7406F">
        <w:rPr>
          <w:rFonts w:asciiTheme="majorHAnsi" w:hAnsiTheme="majorHAnsi"/>
        </w:rPr>
        <w:t>MGIC</w:t>
      </w:r>
      <w:r w:rsidR="00913D65" w:rsidRPr="00F7406F">
        <w:rPr>
          <w:rFonts w:asciiTheme="majorHAnsi" w:hAnsiTheme="majorHAnsi"/>
        </w:rPr>
        <w:t xml:space="preserve"> had the option of either paying the claim amount or paying the total cost of the home and taking the title.</w:t>
      </w:r>
    </w:p>
    <w:p w:rsidR="008F0004" w:rsidRPr="00F7406F" w:rsidRDefault="00913D65">
      <w:pPr>
        <w:rPr>
          <w:rFonts w:asciiTheme="majorHAnsi" w:hAnsiTheme="majorHAnsi"/>
        </w:rPr>
      </w:pPr>
      <w:r w:rsidRPr="00F7406F">
        <w:rPr>
          <w:rFonts w:asciiTheme="majorHAnsi" w:hAnsiTheme="majorHAnsi"/>
          <w:u w:val="single"/>
        </w:rPr>
        <w:t>Delegated Underwriting</w:t>
      </w:r>
    </w:p>
    <w:p w:rsidR="008F0004" w:rsidRPr="00F7406F" w:rsidRDefault="00913D65">
      <w:pPr>
        <w:rPr>
          <w:rFonts w:asciiTheme="majorHAnsi" w:hAnsiTheme="majorHAnsi"/>
        </w:rPr>
      </w:pPr>
      <w:r w:rsidRPr="00F7406F">
        <w:rPr>
          <w:rFonts w:asciiTheme="majorHAnsi" w:hAnsiTheme="majorHAnsi"/>
        </w:rPr>
        <w:t xml:space="preserve">At one point in time </w:t>
      </w:r>
      <w:r w:rsidR="00F7406F" w:rsidRPr="00F7406F">
        <w:rPr>
          <w:rFonts w:asciiTheme="majorHAnsi" w:hAnsiTheme="majorHAnsi"/>
        </w:rPr>
        <w:t>MGIC</w:t>
      </w:r>
      <w:r w:rsidRPr="00F7406F">
        <w:rPr>
          <w:rFonts w:asciiTheme="majorHAnsi" w:hAnsiTheme="majorHAnsi"/>
        </w:rPr>
        <w:t xml:space="preserve"> served as </w:t>
      </w:r>
      <w:r w:rsidR="00F7406F">
        <w:rPr>
          <w:rFonts w:asciiTheme="majorHAnsi" w:hAnsiTheme="majorHAnsi"/>
        </w:rPr>
        <w:t>a review underwriter</w:t>
      </w:r>
      <w:r w:rsidRPr="00F7406F">
        <w:rPr>
          <w:rFonts w:asciiTheme="majorHAnsi" w:hAnsiTheme="majorHAnsi"/>
        </w:rPr>
        <w:t xml:space="preserve">.  This practice began to change between 2002 and 2003 as they competed for market share.  Instead of doing underwriting upfront they relied on the automated underwriting systems of the lenders.  </w:t>
      </w:r>
      <w:r w:rsidR="00F7406F" w:rsidRPr="00F7406F">
        <w:rPr>
          <w:rFonts w:asciiTheme="majorHAnsi" w:hAnsiTheme="majorHAnsi"/>
        </w:rPr>
        <w:t>MGIC</w:t>
      </w:r>
      <w:r w:rsidRPr="00F7406F">
        <w:rPr>
          <w:rFonts w:asciiTheme="majorHAnsi" w:hAnsiTheme="majorHAnsi"/>
        </w:rPr>
        <w:t xml:space="preserve"> took on the view that “if it is good for them, it is good for us.”  One of the primary reasons </w:t>
      </w:r>
      <w:r w:rsidR="00F7406F" w:rsidRPr="00F7406F">
        <w:rPr>
          <w:rFonts w:asciiTheme="majorHAnsi" w:hAnsiTheme="majorHAnsi"/>
        </w:rPr>
        <w:t>MGIC</w:t>
      </w:r>
      <w:r w:rsidRPr="00F7406F">
        <w:rPr>
          <w:rFonts w:asciiTheme="majorHAnsi" w:hAnsiTheme="majorHAnsi"/>
        </w:rPr>
        <w:t xml:space="preserve"> relied on the automated underwriting systems of the lenders was because lenders wanted to know within two to three minutes whether </w:t>
      </w:r>
      <w:r w:rsidR="00F7406F" w:rsidRPr="00F7406F">
        <w:rPr>
          <w:rFonts w:asciiTheme="majorHAnsi" w:hAnsiTheme="majorHAnsi"/>
        </w:rPr>
        <w:t>MGIC</w:t>
      </w:r>
      <w:r w:rsidR="00F7406F">
        <w:rPr>
          <w:rFonts w:asciiTheme="majorHAnsi" w:hAnsiTheme="majorHAnsi"/>
        </w:rPr>
        <w:t xml:space="preserve"> would insure their loans.  This demand for quick turnaround </w:t>
      </w:r>
      <w:r w:rsidRPr="00F7406F">
        <w:rPr>
          <w:rFonts w:asciiTheme="majorHAnsi" w:hAnsiTheme="majorHAnsi"/>
        </w:rPr>
        <w:t xml:space="preserve">made it impossible </w:t>
      </w:r>
      <w:r w:rsidR="004F47A1">
        <w:rPr>
          <w:rFonts w:asciiTheme="majorHAnsi" w:hAnsiTheme="majorHAnsi"/>
        </w:rPr>
        <w:t xml:space="preserve">for MGIC </w:t>
      </w:r>
      <w:r w:rsidRPr="00F7406F">
        <w:rPr>
          <w:rFonts w:asciiTheme="majorHAnsi" w:hAnsiTheme="majorHAnsi"/>
        </w:rPr>
        <w:t xml:space="preserve">to conduct an investigation into every loan.  </w:t>
      </w:r>
    </w:p>
    <w:p w:rsidR="008F0004" w:rsidRPr="00F7406F" w:rsidRDefault="00913D65">
      <w:pPr>
        <w:rPr>
          <w:rFonts w:asciiTheme="majorHAnsi" w:hAnsiTheme="majorHAnsi"/>
        </w:rPr>
      </w:pPr>
      <w:r w:rsidRPr="00F7406F">
        <w:rPr>
          <w:rFonts w:asciiTheme="majorHAnsi" w:hAnsiTheme="majorHAnsi"/>
        </w:rPr>
        <w:t xml:space="preserve">After the financial crisis </w:t>
      </w:r>
      <w:r w:rsidR="00F7406F" w:rsidRPr="00F7406F">
        <w:rPr>
          <w:rFonts w:asciiTheme="majorHAnsi" w:hAnsiTheme="majorHAnsi"/>
        </w:rPr>
        <w:t>MGIC</w:t>
      </w:r>
      <w:r w:rsidRPr="00F7406F">
        <w:rPr>
          <w:rFonts w:asciiTheme="majorHAnsi" w:hAnsiTheme="majorHAnsi"/>
        </w:rPr>
        <w:t xml:space="preserve"> no longer relied on automatic underwriting to insure loans.</w:t>
      </w:r>
    </w:p>
    <w:p w:rsidR="008F0004" w:rsidRPr="00F7406F" w:rsidRDefault="00913D65">
      <w:pPr>
        <w:rPr>
          <w:rFonts w:asciiTheme="majorHAnsi" w:hAnsiTheme="majorHAnsi"/>
          <w:u w:val="single"/>
        </w:rPr>
      </w:pPr>
      <w:r w:rsidRPr="00F7406F">
        <w:rPr>
          <w:rFonts w:asciiTheme="majorHAnsi" w:hAnsiTheme="majorHAnsi"/>
          <w:u w:val="single"/>
        </w:rPr>
        <w:t>Business Channels Flow vs. Bulk</w:t>
      </w:r>
    </w:p>
    <w:p w:rsidR="008F0004" w:rsidRPr="00F7406F" w:rsidRDefault="00913D65">
      <w:pPr>
        <w:rPr>
          <w:rFonts w:asciiTheme="majorHAnsi" w:hAnsiTheme="majorHAnsi"/>
        </w:rPr>
      </w:pPr>
      <w:r w:rsidRPr="00F7406F">
        <w:rPr>
          <w:rFonts w:asciiTheme="majorHAnsi" w:hAnsiTheme="majorHAnsi"/>
        </w:rPr>
        <w:t>The</w:t>
      </w:r>
      <w:r w:rsidRPr="00F7406F">
        <w:rPr>
          <w:rFonts w:asciiTheme="majorHAnsi" w:hAnsiTheme="majorHAnsi"/>
          <w:i/>
        </w:rPr>
        <w:t xml:space="preserve"> Flow Channel</w:t>
      </w:r>
      <w:r w:rsidRPr="00F7406F">
        <w:rPr>
          <w:rFonts w:asciiTheme="majorHAnsi" w:hAnsiTheme="majorHAnsi"/>
        </w:rPr>
        <w:t xml:space="preserve"> insured loans on a one by one basis.  A lot of these loans ended up with the GSEs or in a small lenders portfolio.  </w:t>
      </w:r>
    </w:p>
    <w:p w:rsidR="008F0004" w:rsidRDefault="00913D65">
      <w:pPr>
        <w:rPr>
          <w:rFonts w:asciiTheme="majorHAnsi" w:hAnsiTheme="majorHAnsi"/>
        </w:rPr>
      </w:pPr>
      <w:r w:rsidRPr="00F7406F">
        <w:rPr>
          <w:rFonts w:asciiTheme="majorHAnsi" w:hAnsiTheme="majorHAnsi"/>
        </w:rPr>
        <w:t>The</w:t>
      </w:r>
      <w:r w:rsidRPr="00F7406F">
        <w:rPr>
          <w:rFonts w:asciiTheme="majorHAnsi" w:hAnsiTheme="majorHAnsi"/>
          <w:i/>
        </w:rPr>
        <w:t xml:space="preserve"> Bulk Channel</w:t>
      </w:r>
      <w:r w:rsidRPr="00F7406F">
        <w:rPr>
          <w:rFonts w:asciiTheme="majorHAnsi" w:hAnsiTheme="majorHAnsi"/>
        </w:rPr>
        <w:t xml:space="preserve"> also insured loans on an individual loan basis as opposed insuring an entire pool of loans.  When each loan defaulted, </w:t>
      </w:r>
      <w:r w:rsidR="00F7406F" w:rsidRPr="00F7406F">
        <w:rPr>
          <w:rFonts w:asciiTheme="majorHAnsi" w:hAnsiTheme="majorHAnsi"/>
        </w:rPr>
        <w:t>MGIC</w:t>
      </w:r>
      <w:r w:rsidRPr="00F7406F">
        <w:rPr>
          <w:rFonts w:asciiTheme="majorHAnsi" w:hAnsiTheme="majorHAnsi"/>
        </w:rPr>
        <w:t xml:space="preserve"> would pay the claim amount on that particular loan.  These loans mainly ended up as private label securitizations. </w:t>
      </w:r>
    </w:p>
    <w:p w:rsidR="00427CF8" w:rsidRPr="00F7406F" w:rsidRDefault="00B074A0">
      <w:pPr>
        <w:rPr>
          <w:rFonts w:asciiTheme="majorHAnsi" w:hAnsiTheme="majorHAnsi"/>
        </w:rPr>
      </w:pPr>
      <w:r>
        <w:rPr>
          <w:rFonts w:asciiTheme="majorHAnsi" w:hAnsiTheme="majorHAnsi"/>
        </w:rPr>
        <w:t>MGIC’s b</w:t>
      </w:r>
      <w:r w:rsidR="00427CF8" w:rsidRPr="00F7406F">
        <w:rPr>
          <w:rFonts w:asciiTheme="majorHAnsi" w:hAnsiTheme="majorHAnsi"/>
        </w:rPr>
        <w:t>ulk customers included</w:t>
      </w:r>
      <w:r>
        <w:rPr>
          <w:rFonts w:asciiTheme="majorHAnsi" w:hAnsiTheme="majorHAnsi"/>
        </w:rPr>
        <w:t>:</w:t>
      </w:r>
      <w:r w:rsidR="00427CF8" w:rsidRPr="00F7406F">
        <w:rPr>
          <w:rFonts w:asciiTheme="majorHAnsi" w:hAnsiTheme="majorHAnsi"/>
        </w:rPr>
        <w:t xml:space="preserve"> Lehman, Countrywide, Novastar, Ameriquest, Credit Suisse, Deutsche Bank, Bear Stearns, Merrill Lynch, and R</w:t>
      </w:r>
      <w:r w:rsidR="00427CF8">
        <w:rPr>
          <w:rFonts w:asciiTheme="majorHAnsi" w:hAnsiTheme="majorHAnsi"/>
        </w:rPr>
        <w:t>esidential Funding Corp. (GMAC)</w:t>
      </w:r>
    </w:p>
    <w:p w:rsidR="008F0004" w:rsidRPr="00F7406F" w:rsidRDefault="00F7406F">
      <w:pPr>
        <w:rPr>
          <w:rFonts w:asciiTheme="majorHAnsi" w:hAnsiTheme="majorHAnsi"/>
        </w:rPr>
      </w:pPr>
      <w:r w:rsidRPr="00F7406F">
        <w:rPr>
          <w:rFonts w:asciiTheme="majorHAnsi" w:hAnsiTheme="majorHAnsi"/>
        </w:rPr>
        <w:t>MGIC</w:t>
      </w:r>
      <w:r w:rsidR="00913D65" w:rsidRPr="00F7406F">
        <w:rPr>
          <w:rFonts w:asciiTheme="majorHAnsi" w:hAnsiTheme="majorHAnsi"/>
        </w:rPr>
        <w:t xml:space="preserve"> performed due diligence only on the bulk channel.  They typically did due diligence reviews in-house and on occasion would enlist the help of a third-party due diligence company such as Clayton Holdings.  </w:t>
      </w:r>
      <w:r w:rsidRPr="00F7406F">
        <w:rPr>
          <w:rFonts w:asciiTheme="majorHAnsi" w:hAnsiTheme="majorHAnsi"/>
        </w:rPr>
        <w:t>MGIC</w:t>
      </w:r>
      <w:r w:rsidR="00913D65" w:rsidRPr="00F7406F">
        <w:rPr>
          <w:rFonts w:asciiTheme="majorHAnsi" w:hAnsiTheme="majorHAnsi"/>
        </w:rPr>
        <w:t xml:space="preserve"> would receive a tape from the lender that listed various data point </w:t>
      </w:r>
      <w:r w:rsidR="00913D65" w:rsidRPr="00F7406F">
        <w:rPr>
          <w:rFonts w:asciiTheme="majorHAnsi" w:hAnsiTheme="majorHAnsi"/>
        </w:rPr>
        <w:lastRenderedPageBreak/>
        <w:t xml:space="preserve">elements.  They would then send a team of people out to the lender’s site to perform the due diligence.  They typically reviewed a sample of between 5% to 10% of the loans.   </w:t>
      </w:r>
      <w:r w:rsidRPr="00F7406F">
        <w:rPr>
          <w:rFonts w:asciiTheme="majorHAnsi" w:hAnsiTheme="majorHAnsi"/>
        </w:rPr>
        <w:t>MGIC</w:t>
      </w:r>
      <w:r w:rsidR="00913D65" w:rsidRPr="00F7406F">
        <w:rPr>
          <w:rFonts w:asciiTheme="majorHAnsi" w:hAnsiTheme="majorHAnsi"/>
        </w:rPr>
        <w:t xml:space="preserve"> representatives were not certain whether the sample was random or adverse.  Also, the loans that they performed due diligence on, in most cases, would have already been subject to due diligence performed by Wall Street firms.  </w:t>
      </w:r>
      <w:r w:rsidRPr="00F7406F">
        <w:rPr>
          <w:rFonts w:asciiTheme="majorHAnsi" w:hAnsiTheme="majorHAnsi"/>
        </w:rPr>
        <w:t>MGIC</w:t>
      </w:r>
      <w:r w:rsidR="00913D65" w:rsidRPr="00F7406F">
        <w:rPr>
          <w:rFonts w:asciiTheme="majorHAnsi" w:hAnsiTheme="majorHAnsi"/>
        </w:rPr>
        <w:t xml:space="preserve"> would not perform due diligence on the same sample of loans as the Wall Street firms. </w:t>
      </w:r>
    </w:p>
    <w:p w:rsidR="008F0004" w:rsidRPr="00F7406F" w:rsidRDefault="00F7406F">
      <w:pPr>
        <w:rPr>
          <w:rFonts w:asciiTheme="majorHAnsi" w:hAnsiTheme="majorHAnsi"/>
        </w:rPr>
      </w:pPr>
      <w:r w:rsidRPr="00F7406F">
        <w:rPr>
          <w:rFonts w:asciiTheme="majorHAnsi" w:hAnsiTheme="majorHAnsi"/>
        </w:rPr>
        <w:t>MGIC</w:t>
      </w:r>
      <w:r w:rsidR="00913D65" w:rsidRPr="00F7406F">
        <w:rPr>
          <w:rFonts w:asciiTheme="majorHAnsi" w:hAnsiTheme="majorHAnsi"/>
        </w:rPr>
        <w:t xml:space="preserve"> performed verification due diligence as opposed to validation.  They did not actually verify whether the information within the loan file was correct.  Their due diligence consisted of matching the data points on the loan tape to the information in the borrower’s loan file. </w:t>
      </w:r>
      <w:r w:rsidRPr="00F7406F">
        <w:rPr>
          <w:rFonts w:asciiTheme="majorHAnsi" w:hAnsiTheme="majorHAnsi"/>
        </w:rPr>
        <w:t>MGIC</w:t>
      </w:r>
      <w:r w:rsidR="00913D65" w:rsidRPr="00F7406F">
        <w:rPr>
          <w:rFonts w:asciiTheme="majorHAnsi" w:hAnsiTheme="majorHAnsi"/>
        </w:rPr>
        <w:t xml:space="preserve"> did not perform compliance due diligence.  If the lender could not foreclose because it was found that the loan was predatory and did not comply with state of federal regulation, they did not insure that loan.  </w:t>
      </w:r>
    </w:p>
    <w:p w:rsidR="008F0004" w:rsidRPr="00F7406F" w:rsidRDefault="00913D65">
      <w:pPr>
        <w:rPr>
          <w:rFonts w:asciiTheme="majorHAnsi" w:hAnsiTheme="majorHAnsi"/>
          <w:color w:val="000000"/>
          <w:u w:val="single"/>
        </w:rPr>
      </w:pPr>
      <w:r w:rsidRPr="00F7406F">
        <w:rPr>
          <w:rFonts w:asciiTheme="majorHAnsi" w:hAnsiTheme="majorHAnsi"/>
          <w:color w:val="000000"/>
          <w:u w:val="single"/>
        </w:rPr>
        <w:t>Eligibility Criteria</w:t>
      </w:r>
    </w:p>
    <w:p w:rsidR="008F0004" w:rsidRPr="00F7406F" w:rsidRDefault="00913D65">
      <w:pPr>
        <w:rPr>
          <w:rFonts w:asciiTheme="majorHAnsi" w:hAnsiTheme="majorHAnsi"/>
          <w:color w:val="000000"/>
        </w:rPr>
      </w:pPr>
      <w:r w:rsidRPr="00F7406F">
        <w:rPr>
          <w:rFonts w:asciiTheme="majorHAnsi" w:hAnsiTheme="majorHAnsi"/>
          <w:color w:val="000000"/>
        </w:rPr>
        <w:t xml:space="preserve">There were typically between two to eight eligibility criteria that had to be met in order for </w:t>
      </w:r>
      <w:r w:rsidR="00427CF8">
        <w:rPr>
          <w:rFonts w:asciiTheme="majorHAnsi" w:hAnsiTheme="majorHAnsi"/>
          <w:color w:val="000000"/>
        </w:rPr>
        <w:t>MGIC</w:t>
      </w:r>
      <w:r w:rsidRPr="00F7406F">
        <w:rPr>
          <w:rFonts w:asciiTheme="majorHAnsi" w:hAnsiTheme="majorHAnsi"/>
          <w:color w:val="000000"/>
        </w:rPr>
        <w:t xml:space="preserve"> to insure a loan.  They would</w:t>
      </w:r>
      <w:r w:rsidR="00C307F0">
        <w:rPr>
          <w:rFonts w:asciiTheme="majorHAnsi" w:hAnsiTheme="majorHAnsi"/>
          <w:color w:val="000000"/>
        </w:rPr>
        <w:t xml:space="preserve"> look at factors such as the debt-to-income ratio (DTI)</w:t>
      </w:r>
      <w:r w:rsidRPr="00F7406F">
        <w:rPr>
          <w:rFonts w:asciiTheme="majorHAnsi" w:hAnsiTheme="majorHAnsi"/>
          <w:color w:val="000000"/>
        </w:rPr>
        <w:t>, FICO score, and wh</w:t>
      </w:r>
      <w:r w:rsidR="00C307F0">
        <w:rPr>
          <w:rFonts w:asciiTheme="majorHAnsi" w:hAnsiTheme="majorHAnsi"/>
          <w:color w:val="000000"/>
        </w:rPr>
        <w:t>ether the property was a one-to-</w:t>
      </w:r>
      <w:r w:rsidRPr="00F7406F">
        <w:rPr>
          <w:rFonts w:asciiTheme="majorHAnsi" w:hAnsiTheme="majorHAnsi"/>
          <w:color w:val="000000"/>
        </w:rPr>
        <w:t>four family residence.</w:t>
      </w:r>
    </w:p>
    <w:p w:rsidR="008F0004" w:rsidRPr="00F7406F" w:rsidRDefault="00913D65">
      <w:pPr>
        <w:rPr>
          <w:rFonts w:asciiTheme="majorHAnsi" w:hAnsiTheme="majorHAnsi"/>
          <w:u w:val="single"/>
        </w:rPr>
      </w:pPr>
      <w:r w:rsidRPr="00F7406F">
        <w:rPr>
          <w:rFonts w:asciiTheme="majorHAnsi" w:hAnsiTheme="majorHAnsi"/>
          <w:u w:val="single"/>
        </w:rPr>
        <w:t>Investigation Process</w:t>
      </w:r>
    </w:p>
    <w:p w:rsidR="008F0004" w:rsidRPr="00F7406F" w:rsidRDefault="00913D65">
      <w:pPr>
        <w:rPr>
          <w:rFonts w:asciiTheme="majorHAnsi" w:hAnsiTheme="majorHAnsi"/>
        </w:rPr>
      </w:pPr>
      <w:r w:rsidRPr="00F7406F">
        <w:rPr>
          <w:rFonts w:asciiTheme="majorHAnsi" w:hAnsiTheme="majorHAnsi"/>
        </w:rPr>
        <w:t xml:space="preserve">After an insurance claim was filed, </w:t>
      </w:r>
      <w:r w:rsidR="00F7406F" w:rsidRPr="00F7406F">
        <w:rPr>
          <w:rFonts w:asciiTheme="majorHAnsi" w:hAnsiTheme="majorHAnsi"/>
        </w:rPr>
        <w:t>MGIC</w:t>
      </w:r>
      <w:r w:rsidRPr="00F7406F">
        <w:rPr>
          <w:rFonts w:asciiTheme="majorHAnsi" w:hAnsiTheme="majorHAnsi"/>
        </w:rPr>
        <w:t xml:space="preserve"> would launch an investigation to verify whether the information in the loan file was accurate.  To do this, </w:t>
      </w:r>
      <w:r w:rsidR="00F7406F" w:rsidRPr="00F7406F">
        <w:rPr>
          <w:rFonts w:asciiTheme="majorHAnsi" w:hAnsiTheme="majorHAnsi"/>
        </w:rPr>
        <w:t>MGIC</w:t>
      </w:r>
      <w:r w:rsidRPr="00F7406F">
        <w:rPr>
          <w:rFonts w:asciiTheme="majorHAnsi" w:hAnsiTheme="majorHAnsi"/>
        </w:rPr>
        <w:t xml:space="preserve"> would speak with the borrower to determine what information they exchanged with the lender.  </w:t>
      </w:r>
      <w:r w:rsidR="00F7406F" w:rsidRPr="00F7406F">
        <w:rPr>
          <w:rFonts w:asciiTheme="majorHAnsi" w:hAnsiTheme="majorHAnsi"/>
        </w:rPr>
        <w:t>MGIC</w:t>
      </w:r>
      <w:r w:rsidRPr="00F7406F">
        <w:rPr>
          <w:rFonts w:asciiTheme="majorHAnsi" w:hAnsiTheme="majorHAnsi"/>
        </w:rPr>
        <w:t xml:space="preserve"> also looked into whether the appraisal of the house was accurate. If </w:t>
      </w:r>
      <w:r w:rsidR="00F7406F" w:rsidRPr="00F7406F">
        <w:rPr>
          <w:rFonts w:asciiTheme="majorHAnsi" w:hAnsiTheme="majorHAnsi"/>
        </w:rPr>
        <w:t>MGIC’s</w:t>
      </w:r>
      <w:r w:rsidRPr="00F7406F">
        <w:rPr>
          <w:rFonts w:asciiTheme="majorHAnsi" w:hAnsiTheme="majorHAnsi"/>
        </w:rPr>
        <w:t xml:space="preserve"> investigation found sufficient evidence to rescind a loan, they would notify the lender of their findings and give the lender an opportunity to rebut.  </w:t>
      </w:r>
    </w:p>
    <w:p w:rsidR="008F0004" w:rsidRPr="00F7406F" w:rsidRDefault="00913D65">
      <w:pPr>
        <w:rPr>
          <w:rFonts w:asciiTheme="majorHAnsi" w:hAnsiTheme="majorHAnsi"/>
          <w:u w:val="single"/>
        </w:rPr>
      </w:pPr>
      <w:r w:rsidRPr="00F7406F">
        <w:rPr>
          <w:rFonts w:asciiTheme="majorHAnsi" w:hAnsiTheme="majorHAnsi"/>
          <w:u w:val="single"/>
        </w:rPr>
        <w:t>2009 R</w:t>
      </w:r>
      <w:r w:rsidR="00427CF8">
        <w:rPr>
          <w:rFonts w:asciiTheme="majorHAnsi" w:hAnsiTheme="majorHAnsi"/>
          <w:u w:val="single"/>
        </w:rPr>
        <w:t>escission</w:t>
      </w:r>
    </w:p>
    <w:p w:rsidR="008F0004" w:rsidRPr="00F7406F" w:rsidRDefault="00913D65" w:rsidP="008F0004">
      <w:pPr>
        <w:rPr>
          <w:rFonts w:asciiTheme="majorHAnsi" w:hAnsiTheme="majorHAnsi"/>
        </w:rPr>
      </w:pPr>
      <w:r w:rsidRPr="00F7406F">
        <w:rPr>
          <w:rFonts w:asciiTheme="majorHAnsi" w:hAnsiTheme="majorHAnsi"/>
        </w:rPr>
        <w:t xml:space="preserve">From the beginning of January 2009 to August 2009, </w:t>
      </w:r>
      <w:r w:rsidR="00F7406F" w:rsidRPr="00F7406F">
        <w:rPr>
          <w:rFonts w:asciiTheme="majorHAnsi" w:hAnsiTheme="majorHAnsi"/>
        </w:rPr>
        <w:t>MGIC</w:t>
      </w:r>
      <w:r w:rsidRPr="00F7406F">
        <w:rPr>
          <w:rFonts w:asciiTheme="majorHAnsi" w:hAnsiTheme="majorHAnsi"/>
        </w:rPr>
        <w:t xml:space="preserve"> rescinded approximately 20,000 loans in their flow channel and 10,000 loans in their bulk channel.   Twenty-five percent of the bulk and flow claims were rescinded.</w:t>
      </w:r>
    </w:p>
    <w:p w:rsidR="008F0004" w:rsidRPr="00F7406F" w:rsidRDefault="00913D65" w:rsidP="008F0004">
      <w:pPr>
        <w:rPr>
          <w:rFonts w:asciiTheme="majorHAnsi" w:hAnsiTheme="majorHAnsi"/>
        </w:rPr>
      </w:pPr>
      <w:r w:rsidRPr="00F7406F">
        <w:rPr>
          <w:rFonts w:asciiTheme="majorHAnsi" w:hAnsiTheme="majorHAnsi"/>
        </w:rPr>
        <w:t>The aggregate amount of the claims that were rescinded during the 2009 time period would have been over $2 billion.  This number represents the amount they would have paid but for the rescissions.</w:t>
      </w:r>
    </w:p>
    <w:p w:rsidR="008F0004" w:rsidRPr="00F7406F" w:rsidRDefault="00913D65" w:rsidP="008F0004">
      <w:pPr>
        <w:rPr>
          <w:rFonts w:asciiTheme="majorHAnsi" w:hAnsiTheme="majorHAnsi"/>
        </w:rPr>
      </w:pPr>
      <w:r w:rsidRPr="00F7406F">
        <w:rPr>
          <w:rFonts w:asciiTheme="majorHAnsi" w:hAnsiTheme="majorHAnsi"/>
        </w:rPr>
        <w:t>In 2006 and 2007, the total face amount for mortgage insurance on the flow side was between $50 and $70 billion per year.</w:t>
      </w:r>
    </w:p>
    <w:p w:rsidR="008F0004" w:rsidRPr="00F7406F" w:rsidRDefault="00913D65" w:rsidP="008F0004">
      <w:pPr>
        <w:rPr>
          <w:rFonts w:asciiTheme="majorHAnsi" w:hAnsiTheme="majorHAnsi"/>
          <w:u w:val="single"/>
        </w:rPr>
      </w:pPr>
      <w:r w:rsidRPr="00F7406F">
        <w:rPr>
          <w:rFonts w:asciiTheme="majorHAnsi" w:hAnsiTheme="majorHAnsi"/>
          <w:u w:val="single"/>
        </w:rPr>
        <w:t>Dropping Lenders</w:t>
      </w:r>
    </w:p>
    <w:p w:rsidR="008F0004" w:rsidRPr="00F7406F" w:rsidRDefault="00913D65" w:rsidP="008F0004">
      <w:pPr>
        <w:rPr>
          <w:rFonts w:asciiTheme="majorHAnsi" w:hAnsiTheme="majorHAnsi"/>
        </w:rPr>
      </w:pPr>
      <w:r w:rsidRPr="00F7406F">
        <w:rPr>
          <w:rFonts w:asciiTheme="majorHAnsi" w:hAnsiTheme="majorHAnsi"/>
        </w:rPr>
        <w:t xml:space="preserve">In 2007, </w:t>
      </w:r>
      <w:r w:rsidR="00F7406F" w:rsidRPr="00F7406F">
        <w:rPr>
          <w:rFonts w:asciiTheme="majorHAnsi" w:hAnsiTheme="majorHAnsi"/>
        </w:rPr>
        <w:t>MGIC</w:t>
      </w:r>
      <w:r w:rsidRPr="00F7406F">
        <w:rPr>
          <w:rFonts w:asciiTheme="majorHAnsi" w:hAnsiTheme="majorHAnsi"/>
        </w:rPr>
        <w:t xml:space="preserve"> began increasing their prices.  This was one of the principle ways that </w:t>
      </w:r>
      <w:r w:rsidR="00F7406F" w:rsidRPr="00F7406F">
        <w:rPr>
          <w:rFonts w:asciiTheme="majorHAnsi" w:hAnsiTheme="majorHAnsi"/>
        </w:rPr>
        <w:t>MGIC</w:t>
      </w:r>
      <w:r w:rsidRPr="00F7406F">
        <w:rPr>
          <w:rFonts w:asciiTheme="majorHAnsi" w:hAnsiTheme="majorHAnsi"/>
        </w:rPr>
        <w:t xml:space="preserve"> avoided doing business with lenders.  Another technique that they used to avoid doing business was to reduce the percentage of the pool that they were willing to cover. </w:t>
      </w:r>
    </w:p>
    <w:p w:rsidR="008F0004" w:rsidRPr="00F7406F" w:rsidRDefault="00913D65" w:rsidP="008F0004">
      <w:pPr>
        <w:rPr>
          <w:rFonts w:asciiTheme="majorHAnsi" w:hAnsiTheme="majorHAnsi"/>
          <w:u w:val="single"/>
        </w:rPr>
      </w:pPr>
      <w:r w:rsidRPr="00F7406F">
        <w:rPr>
          <w:rFonts w:asciiTheme="majorHAnsi" w:hAnsiTheme="majorHAnsi"/>
          <w:u w:val="single"/>
        </w:rPr>
        <w:lastRenderedPageBreak/>
        <w:t>Litigation</w:t>
      </w:r>
    </w:p>
    <w:p w:rsidR="008F0004" w:rsidRPr="00F7406F" w:rsidRDefault="00F7406F" w:rsidP="008F0004">
      <w:pPr>
        <w:rPr>
          <w:rFonts w:asciiTheme="majorHAnsi" w:hAnsiTheme="majorHAnsi"/>
        </w:rPr>
      </w:pPr>
      <w:r w:rsidRPr="00F7406F">
        <w:rPr>
          <w:rFonts w:asciiTheme="majorHAnsi" w:hAnsiTheme="majorHAnsi"/>
        </w:rPr>
        <w:t>MGIC</w:t>
      </w:r>
      <w:r w:rsidR="00913D65" w:rsidRPr="00F7406F">
        <w:rPr>
          <w:rFonts w:asciiTheme="majorHAnsi" w:hAnsiTheme="majorHAnsi"/>
        </w:rPr>
        <w:t xml:space="preserve"> currently has litigation pending with Countrywide. The Countrywide case was filed in California state court.  There is also a parallel arbitration currently taking place with the American Arbitration Association Tribunal.  </w:t>
      </w:r>
    </w:p>
    <w:p w:rsidR="008F0004" w:rsidRPr="00F7406F" w:rsidRDefault="00913D65" w:rsidP="008F0004">
      <w:pPr>
        <w:rPr>
          <w:rFonts w:asciiTheme="majorHAnsi" w:hAnsiTheme="majorHAnsi"/>
          <w:u w:val="single"/>
        </w:rPr>
      </w:pPr>
      <w:r w:rsidRPr="00F7406F">
        <w:rPr>
          <w:rFonts w:asciiTheme="majorHAnsi" w:hAnsiTheme="majorHAnsi"/>
          <w:u w:val="single"/>
        </w:rPr>
        <w:t>Put Backs</w:t>
      </w:r>
    </w:p>
    <w:p w:rsidR="008F0004" w:rsidRPr="00F7406F" w:rsidRDefault="00913D65" w:rsidP="008F0004">
      <w:pPr>
        <w:rPr>
          <w:rFonts w:asciiTheme="majorHAnsi" w:hAnsiTheme="majorHAnsi"/>
        </w:rPr>
      </w:pPr>
      <w:r w:rsidRPr="00F7406F">
        <w:rPr>
          <w:rFonts w:asciiTheme="majorHAnsi" w:hAnsiTheme="majorHAnsi"/>
        </w:rPr>
        <w:t>Lenders would put the loan back on the borrower under the provision in the contract in cases involving fraud.</w:t>
      </w:r>
    </w:p>
    <w:p w:rsidR="008F0004" w:rsidRPr="00F7406F" w:rsidRDefault="00913D65" w:rsidP="008F0004">
      <w:pPr>
        <w:rPr>
          <w:rFonts w:asciiTheme="majorHAnsi" w:hAnsiTheme="majorHAnsi"/>
          <w:u w:val="single"/>
        </w:rPr>
      </w:pPr>
      <w:r w:rsidRPr="00F7406F">
        <w:rPr>
          <w:rFonts w:asciiTheme="majorHAnsi" w:hAnsiTheme="majorHAnsi"/>
          <w:u w:val="single"/>
        </w:rPr>
        <w:t>Rating Agencies</w:t>
      </w:r>
    </w:p>
    <w:p w:rsidR="008F0004" w:rsidRPr="00F7406F" w:rsidRDefault="00F7406F" w:rsidP="008F0004">
      <w:pPr>
        <w:rPr>
          <w:rFonts w:asciiTheme="majorHAnsi" w:hAnsiTheme="majorHAnsi"/>
        </w:rPr>
      </w:pPr>
      <w:r w:rsidRPr="00F7406F">
        <w:rPr>
          <w:rFonts w:asciiTheme="majorHAnsi" w:hAnsiTheme="majorHAnsi"/>
        </w:rPr>
        <w:t>MGIC</w:t>
      </w:r>
      <w:r w:rsidR="00913D65" w:rsidRPr="00F7406F">
        <w:rPr>
          <w:rFonts w:asciiTheme="majorHAnsi" w:hAnsiTheme="majorHAnsi"/>
        </w:rPr>
        <w:t xml:space="preserve"> never met with the rating agencies to discuss issues they were seeing in regards to the deterioration of the mortgages they insured.  </w:t>
      </w:r>
    </w:p>
    <w:p w:rsidR="008F0004" w:rsidRPr="00F7406F" w:rsidRDefault="00913D65" w:rsidP="008F0004">
      <w:pPr>
        <w:rPr>
          <w:rFonts w:asciiTheme="majorHAnsi" w:hAnsiTheme="majorHAnsi"/>
          <w:u w:val="single"/>
        </w:rPr>
      </w:pPr>
      <w:r w:rsidRPr="00F7406F">
        <w:rPr>
          <w:rFonts w:asciiTheme="majorHAnsi" w:hAnsiTheme="majorHAnsi"/>
          <w:u w:val="single"/>
        </w:rPr>
        <w:t>Staffing up</w:t>
      </w:r>
    </w:p>
    <w:p w:rsidR="008F0004" w:rsidRPr="00F7406F" w:rsidRDefault="00B074A0" w:rsidP="008F0004">
      <w:pPr>
        <w:rPr>
          <w:rFonts w:asciiTheme="majorHAnsi" w:hAnsiTheme="majorHAnsi"/>
        </w:rPr>
      </w:pPr>
      <w:r w:rsidRPr="00F7406F">
        <w:rPr>
          <w:rFonts w:asciiTheme="majorHAnsi" w:hAnsiTheme="majorHAnsi"/>
        </w:rPr>
        <w:t>The rise in fraud on the flow side prior to the crisis was less th</w:t>
      </w:r>
      <w:r>
        <w:rPr>
          <w:rFonts w:asciiTheme="majorHAnsi" w:hAnsiTheme="majorHAnsi"/>
        </w:rPr>
        <w:t xml:space="preserve">an 2% and now it’s around 20%.  </w:t>
      </w:r>
      <w:r w:rsidR="00913D65" w:rsidRPr="00F7406F">
        <w:rPr>
          <w:rFonts w:asciiTheme="majorHAnsi" w:hAnsiTheme="majorHAnsi"/>
        </w:rPr>
        <w:t xml:space="preserve">Between 2007 and early 2008, </w:t>
      </w:r>
      <w:r w:rsidR="00F7406F" w:rsidRPr="00F7406F">
        <w:rPr>
          <w:rFonts w:asciiTheme="majorHAnsi" w:hAnsiTheme="majorHAnsi"/>
        </w:rPr>
        <w:t>MGIC</w:t>
      </w:r>
      <w:r w:rsidR="00913D65" w:rsidRPr="00F7406F">
        <w:rPr>
          <w:rFonts w:asciiTheme="majorHAnsi" w:hAnsiTheme="majorHAnsi"/>
        </w:rPr>
        <w:t xml:space="preserve"> began to increase their staff in the claims and fraud investigation area.  Prior to 2007, they had 40 people working in these areas.  After an increase in claims, they hired 200 new employees including outsourced employees from India.  </w:t>
      </w:r>
    </w:p>
    <w:p w:rsidR="008F0004" w:rsidRPr="00F7406F" w:rsidRDefault="00E75B48" w:rsidP="008F0004">
      <w:pPr>
        <w:rPr>
          <w:rFonts w:asciiTheme="majorHAnsi" w:hAnsiTheme="majorHAnsi"/>
        </w:rPr>
      </w:pPr>
    </w:p>
    <w:p w:rsidR="008F0004" w:rsidRPr="00F7406F" w:rsidRDefault="00E75B48" w:rsidP="008F0004">
      <w:pPr>
        <w:rPr>
          <w:rFonts w:asciiTheme="majorHAnsi" w:hAnsiTheme="majorHAnsi"/>
        </w:rPr>
      </w:pPr>
    </w:p>
    <w:p w:rsidR="00E8098F" w:rsidRDefault="00E8098F">
      <w:pPr>
        <w:rPr>
          <w:rFonts w:asciiTheme="majorHAnsi" w:hAnsiTheme="majorHAnsi"/>
        </w:rPr>
      </w:pPr>
    </w:p>
    <w:p w:rsidR="00E8098F" w:rsidRDefault="00E8098F">
      <w:pPr>
        <w:rPr>
          <w:rFonts w:asciiTheme="majorHAnsi" w:hAnsiTheme="majorHAnsi"/>
        </w:rPr>
      </w:pPr>
    </w:p>
    <w:p w:rsidR="008F0004" w:rsidRPr="00E8098F" w:rsidRDefault="00E8098F">
      <w:pPr>
        <w:rPr>
          <w:rFonts w:asciiTheme="majorHAnsi" w:hAnsiTheme="majorHAnsi"/>
          <w:sz w:val="16"/>
        </w:rPr>
      </w:pPr>
      <w:proofErr w:type="gramStart"/>
      <w:r w:rsidRPr="00E8098F">
        <w:rPr>
          <w:rFonts w:asciiTheme="majorHAnsi" w:hAnsiTheme="majorHAnsi"/>
          <w:sz w:val="16"/>
        </w:rPr>
        <w:t>4814-7652-8647, v.</w:t>
      </w:r>
      <w:proofErr w:type="gramEnd"/>
      <w:r w:rsidRPr="00E8098F">
        <w:rPr>
          <w:rFonts w:asciiTheme="majorHAnsi" w:hAnsiTheme="majorHAnsi"/>
          <w:sz w:val="16"/>
        </w:rPr>
        <w:t xml:space="preserve">  1</w:t>
      </w:r>
    </w:p>
    <w:sectPr w:rsidR="008F0004" w:rsidRPr="00E8098F" w:rsidSect="008F000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B48" w:rsidRDefault="00E75B48">
      <w:pPr>
        <w:spacing w:after="0" w:line="240" w:lineRule="auto"/>
      </w:pPr>
      <w:r>
        <w:separator/>
      </w:r>
    </w:p>
  </w:endnote>
  <w:endnote w:type="continuationSeparator" w:id="0">
    <w:p w:rsidR="00E75B48" w:rsidRDefault="00E75B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170138"/>
      <w:docPartObj>
        <w:docPartGallery w:val="Page Numbers (Bottom of Page)"/>
        <w:docPartUnique/>
      </w:docPartObj>
    </w:sdtPr>
    <w:sdtContent>
      <w:sdt>
        <w:sdtPr>
          <w:id w:val="565050477"/>
          <w:docPartObj>
            <w:docPartGallery w:val="Page Numbers (Top of Page)"/>
            <w:docPartUnique/>
          </w:docPartObj>
        </w:sdtPr>
        <w:sdtContent>
          <w:p w:rsidR="004F0672" w:rsidRDefault="004F0672">
            <w:pPr>
              <w:pStyle w:val="Footer"/>
              <w:jc w:val="center"/>
            </w:pPr>
            <w:r>
              <w:t xml:space="preserve">Page </w:t>
            </w:r>
            <w:r w:rsidR="00AF3897">
              <w:rPr>
                <w:b/>
                <w:sz w:val="24"/>
                <w:szCs w:val="24"/>
              </w:rPr>
              <w:fldChar w:fldCharType="begin"/>
            </w:r>
            <w:r>
              <w:rPr>
                <w:b/>
              </w:rPr>
              <w:instrText xml:space="preserve"> PAGE </w:instrText>
            </w:r>
            <w:r w:rsidR="00AF3897">
              <w:rPr>
                <w:b/>
                <w:sz w:val="24"/>
                <w:szCs w:val="24"/>
              </w:rPr>
              <w:fldChar w:fldCharType="separate"/>
            </w:r>
            <w:r w:rsidR="00840C8C">
              <w:rPr>
                <w:b/>
                <w:noProof/>
              </w:rPr>
              <w:t>1</w:t>
            </w:r>
            <w:r w:rsidR="00AF3897">
              <w:rPr>
                <w:b/>
                <w:sz w:val="24"/>
                <w:szCs w:val="24"/>
              </w:rPr>
              <w:fldChar w:fldCharType="end"/>
            </w:r>
            <w:r>
              <w:t xml:space="preserve"> of </w:t>
            </w:r>
            <w:r w:rsidR="00AF3897">
              <w:rPr>
                <w:b/>
                <w:sz w:val="24"/>
                <w:szCs w:val="24"/>
              </w:rPr>
              <w:fldChar w:fldCharType="begin"/>
            </w:r>
            <w:r>
              <w:rPr>
                <w:b/>
              </w:rPr>
              <w:instrText xml:space="preserve"> NUMPAGES  </w:instrText>
            </w:r>
            <w:r w:rsidR="00AF3897">
              <w:rPr>
                <w:b/>
                <w:sz w:val="24"/>
                <w:szCs w:val="24"/>
              </w:rPr>
              <w:fldChar w:fldCharType="separate"/>
            </w:r>
            <w:r w:rsidR="00840C8C">
              <w:rPr>
                <w:b/>
                <w:noProof/>
              </w:rPr>
              <w:t>4</w:t>
            </w:r>
            <w:r w:rsidR="00AF3897">
              <w:rPr>
                <w:b/>
                <w:sz w:val="24"/>
                <w:szCs w:val="24"/>
              </w:rPr>
              <w:fldChar w:fldCharType="end"/>
            </w:r>
          </w:p>
        </w:sdtContent>
      </w:sdt>
    </w:sdtContent>
  </w:sdt>
  <w:p w:rsidR="004F0672" w:rsidRDefault="004F06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B48" w:rsidRDefault="00E75B48">
      <w:pPr>
        <w:spacing w:after="0" w:line="240" w:lineRule="auto"/>
      </w:pPr>
      <w:r>
        <w:separator/>
      </w:r>
    </w:p>
  </w:footnote>
  <w:footnote w:type="continuationSeparator" w:id="0">
    <w:p w:rsidR="00E75B48" w:rsidRDefault="00E75B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06F" w:rsidRPr="00E37934" w:rsidRDefault="00F7406F" w:rsidP="00F7406F">
    <w:pPr>
      <w:pStyle w:val="Header"/>
      <w:spacing w:after="0"/>
      <w:jc w:val="right"/>
      <w:rPr>
        <w:rFonts w:ascii="Cambria" w:hAnsi="Cambria"/>
        <w:b/>
        <w:i/>
      </w:rPr>
    </w:pPr>
    <w:r w:rsidRPr="00E37934">
      <w:rPr>
        <w:rFonts w:ascii="Cambria" w:hAnsi="Cambria"/>
        <w:b/>
        <w:i/>
      </w:rPr>
      <w:t>Privileged and Confidential</w:t>
    </w:r>
  </w:p>
  <w:p w:rsidR="00F7406F" w:rsidRPr="00F7406F" w:rsidRDefault="00F7406F" w:rsidP="00F7406F">
    <w:pPr>
      <w:pStyle w:val="Header"/>
      <w:spacing w:after="0"/>
      <w:jc w:val="right"/>
      <w:rPr>
        <w:rFonts w:ascii="Cambria" w:hAnsi="Cambria"/>
        <w:b/>
        <w:i/>
      </w:rPr>
    </w:pPr>
    <w:r w:rsidRPr="00E37934">
      <w:rPr>
        <w:rFonts w:ascii="Cambria" w:hAnsi="Cambria"/>
        <w:b/>
        <w:i/>
      </w:rPr>
      <w:t>Draft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65585"/>
    <w:multiLevelType w:val="hybridMultilevel"/>
    <w:tmpl w:val="7C84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footnotePr>
    <w:footnote w:id="-1"/>
    <w:footnote w:id="0"/>
  </w:footnotePr>
  <w:endnotePr>
    <w:endnote w:id="-1"/>
    <w:endnote w:id="0"/>
  </w:endnotePr>
  <w:compat/>
  <w:rsids>
    <w:rsidRoot w:val="00723D12"/>
    <w:rsid w:val="000E092D"/>
    <w:rsid w:val="0026673C"/>
    <w:rsid w:val="0035584A"/>
    <w:rsid w:val="00392129"/>
    <w:rsid w:val="003A2376"/>
    <w:rsid w:val="003E5185"/>
    <w:rsid w:val="00427CF8"/>
    <w:rsid w:val="0048400D"/>
    <w:rsid w:val="004B1E82"/>
    <w:rsid w:val="004E3762"/>
    <w:rsid w:val="004F0672"/>
    <w:rsid w:val="004F47A1"/>
    <w:rsid w:val="00593255"/>
    <w:rsid w:val="00723D12"/>
    <w:rsid w:val="00840C8C"/>
    <w:rsid w:val="00911ED4"/>
    <w:rsid w:val="00913D65"/>
    <w:rsid w:val="00AB3203"/>
    <w:rsid w:val="00AF3897"/>
    <w:rsid w:val="00B074A0"/>
    <w:rsid w:val="00BB0000"/>
    <w:rsid w:val="00C307F0"/>
    <w:rsid w:val="00C5315C"/>
    <w:rsid w:val="00DA1C89"/>
    <w:rsid w:val="00E35787"/>
    <w:rsid w:val="00E75B48"/>
    <w:rsid w:val="00E8098F"/>
    <w:rsid w:val="00EE7DF6"/>
    <w:rsid w:val="00F740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3DA"/>
    <w:pPr>
      <w:spacing w:after="200" w:line="276" w:lineRule="auto"/>
    </w:pPr>
    <w:rPr>
      <w:sz w:val="22"/>
      <w:szCs w:val="22"/>
    </w:rPr>
  </w:style>
  <w:style w:type="paragraph" w:styleId="Heading5">
    <w:name w:val="heading 5"/>
    <w:basedOn w:val="Normal"/>
    <w:link w:val="Heading5Char"/>
    <w:uiPriority w:val="9"/>
    <w:qFormat/>
    <w:rsid w:val="00D163DA"/>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163D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1032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1032D"/>
    <w:rPr>
      <w:rFonts w:ascii="Lucida Grande" w:hAnsi="Lucida Grande"/>
      <w:sz w:val="18"/>
      <w:szCs w:val="18"/>
    </w:rPr>
  </w:style>
  <w:style w:type="paragraph" w:styleId="Header">
    <w:name w:val="header"/>
    <w:basedOn w:val="Normal"/>
    <w:link w:val="HeaderChar"/>
    <w:uiPriority w:val="99"/>
    <w:rsid w:val="008F0004"/>
    <w:pPr>
      <w:tabs>
        <w:tab w:val="center" w:pos="4320"/>
        <w:tab w:val="right" w:pos="8640"/>
      </w:tabs>
    </w:pPr>
  </w:style>
  <w:style w:type="paragraph" w:styleId="Footer">
    <w:name w:val="footer"/>
    <w:basedOn w:val="Normal"/>
    <w:link w:val="FooterChar"/>
    <w:uiPriority w:val="99"/>
    <w:rsid w:val="008F0004"/>
    <w:pPr>
      <w:tabs>
        <w:tab w:val="center" w:pos="4320"/>
        <w:tab w:val="right" w:pos="8640"/>
      </w:tabs>
    </w:pPr>
  </w:style>
  <w:style w:type="paragraph" w:styleId="ListParagraph">
    <w:name w:val="List Paragraph"/>
    <w:basedOn w:val="Normal"/>
    <w:uiPriority w:val="34"/>
    <w:qFormat/>
    <w:rsid w:val="00F7406F"/>
    <w:pPr>
      <w:spacing w:after="0" w:line="240" w:lineRule="auto"/>
      <w:ind w:left="720"/>
      <w:contextualSpacing/>
    </w:pPr>
    <w:rPr>
      <w:rFonts w:ascii="Times New Roman" w:eastAsiaTheme="minorHAnsi" w:hAnsi="Times New Roman"/>
      <w:sz w:val="24"/>
      <w:szCs w:val="24"/>
    </w:rPr>
  </w:style>
  <w:style w:type="character" w:customStyle="1" w:styleId="HeaderChar">
    <w:name w:val="Header Char"/>
    <w:basedOn w:val="DefaultParagraphFont"/>
    <w:link w:val="Header"/>
    <w:uiPriority w:val="99"/>
    <w:rsid w:val="00F7406F"/>
    <w:rPr>
      <w:sz w:val="22"/>
      <w:szCs w:val="22"/>
    </w:rPr>
  </w:style>
  <w:style w:type="character" w:customStyle="1" w:styleId="FooterChar">
    <w:name w:val="Footer Char"/>
    <w:basedOn w:val="DefaultParagraphFont"/>
    <w:link w:val="Footer"/>
    <w:uiPriority w:val="99"/>
    <w:rsid w:val="004F0672"/>
    <w:rPr>
      <w:sz w:val="22"/>
      <w:szCs w:val="22"/>
    </w:rPr>
  </w:style>
</w:styles>
</file>

<file path=word/webSettings.xml><?xml version="1.0" encoding="utf-8"?>
<w:webSettings xmlns:r="http://schemas.openxmlformats.org/officeDocument/2006/relationships" xmlns:w="http://schemas.openxmlformats.org/wordprocessingml/2006/main">
  <w:divs>
    <w:div w:id="160492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4D096-05AF-4A54-AD75-9F76C88AE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Overview of Private Mortgage Insurance (PMI) Process</vt:lpstr>
    </vt:vector>
  </TitlesOfParts>
  <Company/>
  <LinksUpToDate>false</LinksUpToDate>
  <CharactersWithSpaces>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Private Mortgage Insurance (PMI) Process</dc:title>
  <dc:creator>rschulte</dc:creator>
  <cp:lastModifiedBy>smandel</cp:lastModifiedBy>
  <cp:revision>12</cp:revision>
  <cp:lastPrinted>2010-10-06T04:35:00Z</cp:lastPrinted>
  <dcterms:created xsi:type="dcterms:W3CDTF">2010-10-11T14:47:00Z</dcterms:created>
  <dcterms:modified xsi:type="dcterms:W3CDTF">2010-12-03T16:28:00Z</dcterms:modified>
</cp:coreProperties>
</file>