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58" w:rsidRDefault="00C63D58" w:rsidP="00C63D58">
      <w:pPr>
        <w:pStyle w:val="PlainText"/>
      </w:pPr>
      <w:r>
        <w:t>Commissioners -</w:t>
      </w:r>
    </w:p>
    <w:p w:rsidR="00C63D58" w:rsidRDefault="00C63D58" w:rsidP="00C63D58">
      <w:pPr>
        <w:pStyle w:val="PlainText"/>
      </w:pPr>
    </w:p>
    <w:p w:rsidR="00C63D58" w:rsidRDefault="00C63D58" w:rsidP="00C63D58">
      <w:pPr>
        <w:pStyle w:val="PlainText"/>
      </w:pPr>
      <w:r>
        <w:t xml:space="preserve">In preparation for our discussions on Wednesday - Friday, please find attached an outline of significant issues which is drawn from the submission of members and arranged consistent with the outline distributed by Wendy over the weekend. </w:t>
      </w:r>
    </w:p>
    <w:p w:rsidR="00C63D58" w:rsidRDefault="00C63D58" w:rsidP="00C63D58">
      <w:pPr>
        <w:pStyle w:val="PlainText"/>
      </w:pPr>
    </w:p>
    <w:p w:rsidR="00C63D58" w:rsidRDefault="00C63D58" w:rsidP="00C63D58">
      <w:pPr>
        <w:pStyle w:val="PlainText"/>
      </w:pPr>
      <w:r>
        <w:t>The helpful framework proposed by the Vice Chair and distributed to commissioners yesterday contains many, if not most, of these items and the attached outline is arranged in essentially the same order as the Vice Chair's memo (although the Vice Chair's memo combines some of the items from Wendy's memo).</w:t>
      </w:r>
    </w:p>
    <w:p w:rsidR="00C63D58" w:rsidRDefault="00C63D58" w:rsidP="00C63D58">
      <w:pPr>
        <w:pStyle w:val="PlainText"/>
      </w:pPr>
    </w:p>
    <w:p w:rsidR="00C63D58" w:rsidRDefault="00C63D58" w:rsidP="00C63D58">
      <w:pPr>
        <w:pStyle w:val="PlainText"/>
      </w:pPr>
      <w:r>
        <w:t>Please note that the items in bold were contained in Wendy's memo and the unbolded items are specific issues not referenced in her memo which come under the larger headings in Wendy's memo.</w:t>
      </w:r>
    </w:p>
    <w:p w:rsidR="00C63D58" w:rsidRDefault="00C63D58" w:rsidP="00C63D58">
      <w:pPr>
        <w:pStyle w:val="PlainText"/>
      </w:pPr>
    </w:p>
    <w:p w:rsidR="00C63D58" w:rsidRDefault="00C63D58" w:rsidP="00C63D58">
      <w:pPr>
        <w:pStyle w:val="PlainText"/>
      </w:pPr>
      <w:r>
        <w:t xml:space="preserve">With respect to each of the items which the Commissioners choose to discuss, the key questions with respect of these items would appear to be: did it contribute to or cause the crisis; to what extent; and in what manner? </w:t>
      </w:r>
    </w:p>
    <w:p w:rsidR="00C63D58" w:rsidRDefault="00C63D58" w:rsidP="00C63D58">
      <w:pPr>
        <w:pStyle w:val="PlainText"/>
      </w:pPr>
    </w:p>
    <w:p w:rsidR="00C63D58" w:rsidRDefault="00C63D58" w:rsidP="00C63D58">
      <w:pPr>
        <w:pStyle w:val="PlainText"/>
      </w:pPr>
      <w:r>
        <w:t>Along with the Vice Chair, I look forward to a productive set of meetings.</w:t>
      </w:r>
    </w:p>
    <w:p w:rsidR="00C63D58" w:rsidRDefault="00C63D58" w:rsidP="00C63D58">
      <w:pPr>
        <w:pStyle w:val="PlainText"/>
      </w:pPr>
    </w:p>
    <w:p w:rsidR="00C63D58" w:rsidRDefault="00C63D58" w:rsidP="00C63D58">
      <w:pPr>
        <w:pStyle w:val="PlainText"/>
      </w:pPr>
      <w:r>
        <w:t>Phil</w:t>
      </w:r>
    </w:p>
    <w:p w:rsidR="00C63D58" w:rsidRDefault="00C63D58">
      <w:r>
        <w:br w:type="page"/>
      </w:r>
    </w:p>
    <w:p w:rsidR="0079201B" w:rsidRDefault="0079201B" w:rsidP="00165467">
      <w:pPr>
        <w:jc w:val="center"/>
      </w:pPr>
      <w:r>
        <w:lastRenderedPageBreak/>
        <w:t>Significant Areas for Discussion at the Sept</w:t>
      </w:r>
      <w:r w:rsidR="00165467">
        <w:t xml:space="preserve">ember </w:t>
      </w:r>
      <w:r w:rsidR="00947519">
        <w:t xml:space="preserve">1, </w:t>
      </w:r>
      <w:r w:rsidR="00165467">
        <w:t>2</w:t>
      </w:r>
      <w:r w:rsidR="00947519">
        <w:t>, and 3</w:t>
      </w:r>
      <w:r w:rsidR="00165467">
        <w:t xml:space="preserve"> Commissioners’ meeting</w:t>
      </w:r>
    </w:p>
    <w:p w:rsidR="004021B1" w:rsidRPr="002201E9" w:rsidRDefault="004021B1" w:rsidP="002201E9">
      <w:pPr>
        <w:rPr>
          <w:b/>
          <w:u w:val="single"/>
        </w:rPr>
      </w:pPr>
      <w:r w:rsidRPr="002201E9">
        <w:rPr>
          <w:b/>
          <w:u w:val="single"/>
        </w:rPr>
        <w:t>Defining the crisis</w:t>
      </w:r>
    </w:p>
    <w:p w:rsidR="002201E9" w:rsidRPr="002201E9" w:rsidRDefault="002201E9" w:rsidP="002201E9">
      <w:pPr>
        <w:rPr>
          <w:b/>
          <w:u w:val="single"/>
        </w:rPr>
      </w:pPr>
      <w:r w:rsidRPr="002201E9">
        <w:rPr>
          <w:b/>
          <w:u w:val="single"/>
        </w:rPr>
        <w:t>Macroeconomic factors</w:t>
      </w:r>
    </w:p>
    <w:p w:rsidR="002201E9" w:rsidRDefault="002201E9" w:rsidP="002201E9">
      <w:pPr>
        <w:pStyle w:val="ListParagraph"/>
        <w:numPr>
          <w:ilvl w:val="0"/>
          <w:numId w:val="6"/>
        </w:numPr>
      </w:pPr>
      <w:r>
        <w:t>monetary policy</w:t>
      </w:r>
    </w:p>
    <w:p w:rsidR="002201E9" w:rsidRDefault="002201E9" w:rsidP="002201E9">
      <w:pPr>
        <w:pStyle w:val="ListParagraph"/>
        <w:numPr>
          <w:ilvl w:val="0"/>
          <w:numId w:val="6"/>
        </w:numPr>
      </w:pPr>
      <w:r>
        <w:t>excess liquidity</w:t>
      </w:r>
    </w:p>
    <w:p w:rsidR="002201E9" w:rsidRDefault="002201E9" w:rsidP="002201E9">
      <w:pPr>
        <w:pStyle w:val="ListParagraph"/>
        <w:numPr>
          <w:ilvl w:val="0"/>
          <w:numId w:val="6"/>
        </w:numPr>
      </w:pPr>
      <w:r>
        <w:t>credit bubbles</w:t>
      </w:r>
    </w:p>
    <w:p w:rsidR="002201E9" w:rsidRDefault="002201E9" w:rsidP="002201E9">
      <w:pPr>
        <w:pStyle w:val="ListParagraph"/>
        <w:numPr>
          <w:ilvl w:val="0"/>
          <w:numId w:val="6"/>
        </w:numPr>
      </w:pPr>
      <w:r>
        <w:t>increase in debt</w:t>
      </w:r>
    </w:p>
    <w:p w:rsidR="002201E9" w:rsidRPr="002201E9" w:rsidRDefault="002201E9" w:rsidP="002201E9">
      <w:pPr>
        <w:rPr>
          <w:b/>
          <w:u w:val="single"/>
        </w:rPr>
      </w:pPr>
      <w:r w:rsidRPr="002201E9">
        <w:rPr>
          <w:b/>
          <w:u w:val="single"/>
        </w:rPr>
        <w:t>The housing bubble and its collapse</w:t>
      </w:r>
    </w:p>
    <w:p w:rsidR="002201E9" w:rsidRDefault="002201E9" w:rsidP="002201E9">
      <w:pPr>
        <w:rPr>
          <w:b/>
        </w:rPr>
      </w:pPr>
      <w:r w:rsidRPr="003D1226">
        <w:rPr>
          <w:b/>
        </w:rPr>
        <w:t>The housing bubble and its collapse: mortgage origination, securitization (including rating agencies), housing policy, and the GSEs</w:t>
      </w:r>
    </w:p>
    <w:p w:rsidR="002201E9" w:rsidRPr="00A369C4" w:rsidRDefault="002201E9" w:rsidP="002201E9">
      <w:pPr>
        <w:pStyle w:val="ListParagraph"/>
        <w:numPr>
          <w:ilvl w:val="0"/>
          <w:numId w:val="2"/>
        </w:numPr>
        <w:rPr>
          <w:b/>
        </w:rPr>
      </w:pPr>
      <w:r w:rsidRPr="00A369C4">
        <w:rPr>
          <w:b/>
        </w:rPr>
        <w:t>mortgage originations</w:t>
      </w:r>
    </w:p>
    <w:p w:rsidR="002201E9" w:rsidRDefault="002201E9" w:rsidP="002201E9">
      <w:pPr>
        <w:pStyle w:val="ListParagraph"/>
        <w:numPr>
          <w:ilvl w:val="1"/>
          <w:numId w:val="2"/>
        </w:numPr>
      </w:pPr>
      <w:r>
        <w:t>Underwriting standards</w:t>
      </w:r>
    </w:p>
    <w:p w:rsidR="002201E9" w:rsidRDefault="002201E9" w:rsidP="002201E9">
      <w:pPr>
        <w:pStyle w:val="ListParagraph"/>
        <w:numPr>
          <w:ilvl w:val="1"/>
          <w:numId w:val="2"/>
        </w:numPr>
      </w:pPr>
      <w:r>
        <w:t>Predatory lending</w:t>
      </w:r>
      <w:r w:rsidRPr="00A369C4">
        <w:t xml:space="preserve"> </w:t>
      </w:r>
    </w:p>
    <w:p w:rsidR="002201E9" w:rsidRDefault="002201E9" w:rsidP="002201E9">
      <w:pPr>
        <w:pStyle w:val="ListParagraph"/>
        <w:numPr>
          <w:ilvl w:val="1"/>
          <w:numId w:val="2"/>
        </w:numPr>
      </w:pPr>
      <w:r w:rsidRPr="00A369C4">
        <w:t>Fraud</w:t>
      </w:r>
    </w:p>
    <w:p w:rsidR="002201E9" w:rsidRPr="00A369C4" w:rsidRDefault="002201E9" w:rsidP="002201E9">
      <w:pPr>
        <w:pStyle w:val="ListParagraph"/>
        <w:numPr>
          <w:ilvl w:val="0"/>
          <w:numId w:val="2"/>
        </w:numPr>
        <w:rPr>
          <w:b/>
        </w:rPr>
      </w:pPr>
      <w:r w:rsidRPr="00A369C4">
        <w:rPr>
          <w:b/>
        </w:rPr>
        <w:t xml:space="preserve">securitization </w:t>
      </w:r>
    </w:p>
    <w:p w:rsidR="002201E9" w:rsidRDefault="002201E9" w:rsidP="002201E9">
      <w:pPr>
        <w:pStyle w:val="ListParagraph"/>
        <w:numPr>
          <w:ilvl w:val="1"/>
          <w:numId w:val="2"/>
        </w:numPr>
      </w:pPr>
      <w:r>
        <w:t>The originate to distribute model</w:t>
      </w:r>
    </w:p>
    <w:p w:rsidR="002201E9" w:rsidRDefault="002201E9" w:rsidP="002201E9">
      <w:pPr>
        <w:pStyle w:val="ListParagraph"/>
        <w:numPr>
          <w:ilvl w:val="1"/>
          <w:numId w:val="2"/>
        </w:numPr>
      </w:pPr>
      <w:r>
        <w:rPr>
          <w:rFonts w:ascii="Tahoma" w:eastAsia="Times New Roman" w:hAnsi="Tahoma" w:cs="Tahoma"/>
          <w:color w:val="000000"/>
          <w:sz w:val="20"/>
          <w:szCs w:val="20"/>
        </w:rPr>
        <w:t>t</w:t>
      </w:r>
      <w:r w:rsidRPr="001A622C">
        <w:rPr>
          <w:rFonts w:ascii="Tahoma" w:eastAsia="Times New Roman" w:hAnsi="Tahoma" w:cs="Tahoma"/>
          <w:color w:val="000000"/>
          <w:sz w:val="20"/>
          <w:szCs w:val="20"/>
        </w:rPr>
        <w:t>ransmission of mortgages through the system</w:t>
      </w:r>
      <w:r>
        <w:t xml:space="preserve"> </w:t>
      </w:r>
    </w:p>
    <w:p w:rsidR="002201E9" w:rsidRPr="00F62CB6" w:rsidRDefault="002201E9" w:rsidP="002201E9">
      <w:pPr>
        <w:pStyle w:val="ListParagraph"/>
        <w:numPr>
          <w:ilvl w:val="1"/>
          <w:numId w:val="2"/>
        </w:numPr>
        <w:rPr>
          <w:rFonts w:ascii="Tahoma" w:eastAsia="Times New Roman" w:hAnsi="Tahoma" w:cs="Tahoma"/>
          <w:b/>
          <w:color w:val="000000"/>
          <w:sz w:val="20"/>
          <w:szCs w:val="20"/>
        </w:rPr>
      </w:pPr>
      <w:r w:rsidRPr="00A96E10">
        <w:rPr>
          <w:b/>
        </w:rPr>
        <w:t>rating agencies</w:t>
      </w:r>
    </w:p>
    <w:p w:rsidR="002201E9" w:rsidRPr="00A369C4" w:rsidRDefault="002201E9" w:rsidP="002201E9">
      <w:pPr>
        <w:pStyle w:val="ListParagraph"/>
        <w:numPr>
          <w:ilvl w:val="0"/>
          <w:numId w:val="2"/>
        </w:numPr>
        <w:rPr>
          <w:b/>
        </w:rPr>
      </w:pPr>
      <w:r w:rsidRPr="00A369C4">
        <w:rPr>
          <w:b/>
        </w:rPr>
        <w:t>housing policy</w:t>
      </w:r>
    </w:p>
    <w:p w:rsidR="002201E9" w:rsidRDefault="002201E9" w:rsidP="002201E9">
      <w:pPr>
        <w:pStyle w:val="ListParagraph"/>
        <w:numPr>
          <w:ilvl w:val="1"/>
          <w:numId w:val="2"/>
        </w:numPr>
      </w:pPr>
      <w:r>
        <w:t xml:space="preserve">CRA </w:t>
      </w:r>
    </w:p>
    <w:p w:rsidR="002201E9" w:rsidRDefault="002201E9" w:rsidP="002201E9">
      <w:pPr>
        <w:pStyle w:val="ListParagraph"/>
        <w:numPr>
          <w:ilvl w:val="1"/>
          <w:numId w:val="2"/>
        </w:numPr>
      </w:pPr>
      <w:r>
        <w:t>Affordable Housing Goals</w:t>
      </w:r>
    </w:p>
    <w:p w:rsidR="002201E9" w:rsidRPr="00A369C4" w:rsidRDefault="002201E9" w:rsidP="002201E9">
      <w:pPr>
        <w:pStyle w:val="ListParagraph"/>
        <w:numPr>
          <w:ilvl w:val="0"/>
          <w:numId w:val="2"/>
        </w:numPr>
        <w:rPr>
          <w:b/>
        </w:rPr>
      </w:pPr>
      <w:r w:rsidRPr="00A369C4">
        <w:rPr>
          <w:b/>
        </w:rPr>
        <w:t>The GSEs</w:t>
      </w:r>
    </w:p>
    <w:p w:rsidR="002201E9" w:rsidRDefault="002201E9" w:rsidP="002201E9">
      <w:pPr>
        <w:pStyle w:val="ListParagraph"/>
        <w:numPr>
          <w:ilvl w:val="1"/>
          <w:numId w:val="2"/>
        </w:numPr>
      </w:pPr>
      <w:r>
        <w:t>Absolute versus relative role in the bubble</w:t>
      </w:r>
    </w:p>
    <w:p w:rsidR="002201E9" w:rsidRDefault="002201E9" w:rsidP="002201E9">
      <w:pPr>
        <w:pStyle w:val="ListParagraph"/>
        <w:numPr>
          <w:ilvl w:val="1"/>
          <w:numId w:val="2"/>
        </w:numPr>
      </w:pPr>
      <w:r>
        <w:t>Motivation (market share/affordable housing goals)</w:t>
      </w:r>
    </w:p>
    <w:p w:rsidR="002201E9" w:rsidRDefault="002201E9" w:rsidP="002201E9">
      <w:pPr>
        <w:pStyle w:val="ListParagraph"/>
        <w:numPr>
          <w:ilvl w:val="1"/>
          <w:numId w:val="2"/>
        </w:numPr>
      </w:pPr>
      <w:r>
        <w:t>Systemic importance</w:t>
      </w:r>
    </w:p>
    <w:p w:rsidR="005E6C1D" w:rsidRPr="00567279" w:rsidRDefault="005E6C1D" w:rsidP="005E6C1D">
      <w:pPr>
        <w:rPr>
          <w:b/>
          <w:u w:val="single"/>
        </w:rPr>
      </w:pPr>
      <w:r w:rsidRPr="00567279">
        <w:rPr>
          <w:b/>
          <w:u w:val="single"/>
        </w:rPr>
        <w:t>Supervision and regulation</w:t>
      </w:r>
    </w:p>
    <w:p w:rsidR="005E6C1D" w:rsidRPr="00A369C4" w:rsidRDefault="005E6C1D" w:rsidP="005E6C1D">
      <w:pPr>
        <w:rPr>
          <w:b/>
        </w:rPr>
      </w:pPr>
      <w:r w:rsidRPr="003D1226">
        <w:rPr>
          <w:b/>
        </w:rPr>
        <w:t xml:space="preserve">Supervision and regulation: broadly, including reliance on self-regulation, in mortgage markets, in financial markets, and of financial institutions </w:t>
      </w:r>
    </w:p>
    <w:p w:rsidR="005E6C1D" w:rsidRDefault="005E6C1D" w:rsidP="005E6C1D">
      <w:pPr>
        <w:pStyle w:val="ListParagraph"/>
        <w:numPr>
          <w:ilvl w:val="0"/>
          <w:numId w:val="3"/>
        </w:numPr>
        <w:rPr>
          <w:b/>
        </w:rPr>
      </w:pPr>
      <w:r>
        <w:rPr>
          <w:b/>
        </w:rPr>
        <w:t>Broad issues</w:t>
      </w:r>
    </w:p>
    <w:p w:rsidR="005E6C1D" w:rsidRPr="00A369C4" w:rsidRDefault="005E6C1D" w:rsidP="005E6C1D">
      <w:pPr>
        <w:pStyle w:val="ListParagraph"/>
        <w:numPr>
          <w:ilvl w:val="1"/>
          <w:numId w:val="3"/>
        </w:numPr>
        <w:rPr>
          <w:b/>
        </w:rPr>
      </w:pPr>
      <w:r w:rsidRPr="00EF5BB3">
        <w:rPr>
          <w:b/>
        </w:rPr>
        <w:t xml:space="preserve">Reliance on self regulation </w:t>
      </w:r>
    </w:p>
    <w:p w:rsidR="005E6C1D" w:rsidRPr="00102F8E" w:rsidRDefault="005E6C1D" w:rsidP="005E6C1D">
      <w:pPr>
        <w:pStyle w:val="ListParagraph"/>
        <w:numPr>
          <w:ilvl w:val="1"/>
          <w:numId w:val="3"/>
        </w:numPr>
      </w:pPr>
      <w:r w:rsidRPr="00102F8E">
        <w:t>Policy direction</w:t>
      </w:r>
    </w:p>
    <w:p w:rsidR="005E6C1D" w:rsidRDefault="005E6C1D" w:rsidP="005E6C1D">
      <w:pPr>
        <w:pStyle w:val="ListParagraph"/>
        <w:numPr>
          <w:ilvl w:val="0"/>
          <w:numId w:val="3"/>
        </w:numPr>
        <w:rPr>
          <w:b/>
        </w:rPr>
      </w:pPr>
      <w:r w:rsidRPr="00A369C4">
        <w:rPr>
          <w:b/>
        </w:rPr>
        <w:t xml:space="preserve">Regulation in mortgage markets </w:t>
      </w:r>
    </w:p>
    <w:p w:rsidR="005E6C1D" w:rsidRPr="00A369C4" w:rsidRDefault="005E6C1D" w:rsidP="005E6C1D">
      <w:pPr>
        <w:pStyle w:val="ListParagraph"/>
        <w:numPr>
          <w:ilvl w:val="1"/>
          <w:numId w:val="3"/>
        </w:numPr>
      </w:pPr>
      <w:r w:rsidRPr="00A369C4">
        <w:t>subprime mortgages</w:t>
      </w:r>
    </w:p>
    <w:p w:rsidR="005E6C1D" w:rsidRPr="00A369C4" w:rsidRDefault="005E6C1D" w:rsidP="005E6C1D">
      <w:pPr>
        <w:pStyle w:val="ListParagraph"/>
        <w:numPr>
          <w:ilvl w:val="0"/>
          <w:numId w:val="3"/>
        </w:numPr>
        <w:rPr>
          <w:b/>
        </w:rPr>
      </w:pPr>
      <w:r w:rsidRPr="00A369C4">
        <w:rPr>
          <w:b/>
        </w:rPr>
        <w:t>Regulation of financial markets</w:t>
      </w:r>
    </w:p>
    <w:p w:rsidR="005E6C1D" w:rsidRDefault="005E6C1D" w:rsidP="005E6C1D">
      <w:pPr>
        <w:pStyle w:val="ListParagraph"/>
        <w:numPr>
          <w:ilvl w:val="1"/>
          <w:numId w:val="3"/>
        </w:numPr>
      </w:pPr>
      <w:r w:rsidRPr="00EF5BB3">
        <w:t>Regulatory gaps</w:t>
      </w:r>
    </w:p>
    <w:p w:rsidR="005E6C1D" w:rsidRDefault="005E6C1D" w:rsidP="005E6C1D">
      <w:pPr>
        <w:pStyle w:val="ListParagraph"/>
        <w:numPr>
          <w:ilvl w:val="1"/>
          <w:numId w:val="3"/>
        </w:numPr>
      </w:pPr>
      <w:r>
        <w:lastRenderedPageBreak/>
        <w:t>Regulation shopping and regulatory arbitrage</w:t>
      </w:r>
    </w:p>
    <w:p w:rsidR="005E6C1D" w:rsidRDefault="005E6C1D" w:rsidP="005E6C1D">
      <w:pPr>
        <w:pStyle w:val="ListParagraph"/>
        <w:numPr>
          <w:ilvl w:val="1"/>
          <w:numId w:val="3"/>
        </w:numPr>
      </w:pPr>
      <w:r>
        <w:t>Capital standards including procyclicality</w:t>
      </w:r>
    </w:p>
    <w:p w:rsidR="005E6C1D" w:rsidRDefault="005E6C1D" w:rsidP="005E6C1D">
      <w:pPr>
        <w:pStyle w:val="ListParagraph"/>
        <w:numPr>
          <w:ilvl w:val="1"/>
          <w:numId w:val="3"/>
        </w:numPr>
      </w:pPr>
      <w:r w:rsidRPr="00EF5BB3">
        <w:t xml:space="preserve">Relative performance and experience of more regulated versus less regulated institutions </w:t>
      </w:r>
    </w:p>
    <w:p w:rsidR="005E6C1D" w:rsidRDefault="005E6C1D" w:rsidP="005E6C1D">
      <w:pPr>
        <w:pStyle w:val="ListParagraph"/>
        <w:numPr>
          <w:ilvl w:val="1"/>
          <w:numId w:val="3"/>
        </w:numPr>
      </w:pPr>
      <w:r>
        <w:t>Transparency</w:t>
      </w:r>
    </w:p>
    <w:p w:rsidR="005E6C1D" w:rsidRDefault="005E6C1D" w:rsidP="005E6C1D">
      <w:pPr>
        <w:pStyle w:val="ListParagraph"/>
        <w:numPr>
          <w:ilvl w:val="1"/>
          <w:numId w:val="3"/>
        </w:numPr>
      </w:pPr>
      <w:r>
        <w:t>Investor protection</w:t>
      </w:r>
    </w:p>
    <w:p w:rsidR="005E6C1D" w:rsidRPr="00A369C4" w:rsidRDefault="005E6C1D" w:rsidP="005E6C1D">
      <w:pPr>
        <w:pStyle w:val="ListParagraph"/>
        <w:numPr>
          <w:ilvl w:val="0"/>
          <w:numId w:val="3"/>
        </w:numPr>
        <w:rPr>
          <w:b/>
        </w:rPr>
      </w:pPr>
      <w:r>
        <w:rPr>
          <w:b/>
        </w:rPr>
        <w:t>Supervision</w:t>
      </w:r>
      <w:r w:rsidRPr="00A369C4">
        <w:rPr>
          <w:b/>
        </w:rPr>
        <w:t xml:space="preserve"> of financial institutions</w:t>
      </w:r>
    </w:p>
    <w:p w:rsidR="005E6C1D" w:rsidRDefault="005E6C1D" w:rsidP="005E6C1D">
      <w:pPr>
        <w:pStyle w:val="ListParagraph"/>
        <w:numPr>
          <w:ilvl w:val="1"/>
          <w:numId w:val="3"/>
        </w:numPr>
      </w:pPr>
      <w:r>
        <w:t xml:space="preserve">Adequacy of supervision </w:t>
      </w:r>
    </w:p>
    <w:p w:rsidR="005E6C1D" w:rsidRDefault="005E6C1D" w:rsidP="005E6C1D">
      <w:pPr>
        <w:pStyle w:val="ListParagraph"/>
        <w:numPr>
          <w:ilvl w:val="1"/>
          <w:numId w:val="3"/>
        </w:numPr>
      </w:pPr>
      <w:r w:rsidRPr="00201BEC">
        <w:t>Adequacy of supervis</w:t>
      </w:r>
      <w:r>
        <w:t>ors’ resources</w:t>
      </w:r>
    </w:p>
    <w:p w:rsidR="005E6C1D" w:rsidRDefault="005E6C1D" w:rsidP="005E6C1D">
      <w:pPr>
        <w:pStyle w:val="ListParagraph"/>
        <w:numPr>
          <w:ilvl w:val="1"/>
          <w:numId w:val="3"/>
        </w:numPr>
      </w:pPr>
      <w:r>
        <w:t>Actions in the face of warning signs</w:t>
      </w:r>
    </w:p>
    <w:p w:rsidR="002201E9" w:rsidRDefault="002201E9" w:rsidP="002201E9">
      <w:pPr>
        <w:rPr>
          <w:b/>
          <w:u w:val="single"/>
        </w:rPr>
      </w:pPr>
      <w:r w:rsidRPr="002201E9">
        <w:rPr>
          <w:b/>
          <w:u w:val="single"/>
        </w:rPr>
        <w:t>Influence of the financial industry on policy and regulation</w:t>
      </w:r>
    </w:p>
    <w:p w:rsidR="004021B1" w:rsidRPr="005C3DDE" w:rsidRDefault="004021B1" w:rsidP="004021B1">
      <w:pPr>
        <w:rPr>
          <w:b/>
          <w:u w:val="single"/>
        </w:rPr>
      </w:pPr>
      <w:r w:rsidRPr="005C3DDE">
        <w:rPr>
          <w:b/>
          <w:u w:val="single"/>
        </w:rPr>
        <w:t>Derivatives</w:t>
      </w:r>
    </w:p>
    <w:p w:rsidR="004021B1" w:rsidRPr="003D1226" w:rsidRDefault="004021B1" w:rsidP="004021B1">
      <w:pPr>
        <w:rPr>
          <w:b/>
        </w:rPr>
      </w:pPr>
      <w:r w:rsidRPr="003D1226">
        <w:rPr>
          <w:b/>
        </w:rPr>
        <w:t>Derivatives:  mortgage-related derivatives (including synthetic CDOs) and other OTC derivatives</w:t>
      </w:r>
    </w:p>
    <w:p w:rsidR="004021B1" w:rsidRPr="00EF5BB3" w:rsidRDefault="004021B1" w:rsidP="004021B1">
      <w:pPr>
        <w:pStyle w:val="ListParagraph"/>
        <w:numPr>
          <w:ilvl w:val="0"/>
          <w:numId w:val="4"/>
        </w:numPr>
        <w:rPr>
          <w:b/>
        </w:rPr>
      </w:pPr>
      <w:r w:rsidRPr="00EF5BB3">
        <w:rPr>
          <w:b/>
        </w:rPr>
        <w:t xml:space="preserve">mortgage-related credit default swaps and synthetics </w:t>
      </w:r>
    </w:p>
    <w:p w:rsidR="004021B1" w:rsidRDefault="004021B1" w:rsidP="004021B1">
      <w:pPr>
        <w:pStyle w:val="ListParagraph"/>
        <w:numPr>
          <w:ilvl w:val="0"/>
          <w:numId w:val="4"/>
        </w:numPr>
        <w:rPr>
          <w:b/>
        </w:rPr>
      </w:pPr>
      <w:r w:rsidRPr="00EF5BB3">
        <w:rPr>
          <w:b/>
        </w:rPr>
        <w:t>other OTC derivatives</w:t>
      </w:r>
    </w:p>
    <w:p w:rsidR="004021B1" w:rsidRPr="00F1092B" w:rsidRDefault="004021B1" w:rsidP="004021B1">
      <w:pPr>
        <w:pStyle w:val="ListParagraph"/>
        <w:numPr>
          <w:ilvl w:val="0"/>
          <w:numId w:val="4"/>
        </w:numPr>
        <w:rPr>
          <w:b/>
        </w:rPr>
      </w:pPr>
      <w:r>
        <w:t>transparency</w:t>
      </w:r>
    </w:p>
    <w:p w:rsidR="004021B1" w:rsidRPr="00414F3F" w:rsidRDefault="004021B1" w:rsidP="004021B1">
      <w:pPr>
        <w:pStyle w:val="ListParagraph"/>
        <w:numPr>
          <w:ilvl w:val="0"/>
          <w:numId w:val="4"/>
        </w:numPr>
        <w:rPr>
          <w:b/>
        </w:rPr>
      </w:pPr>
      <w:r>
        <w:t>interconnections</w:t>
      </w:r>
    </w:p>
    <w:p w:rsidR="00414F3F" w:rsidRPr="002201E9" w:rsidRDefault="00414F3F" w:rsidP="004021B1">
      <w:pPr>
        <w:pStyle w:val="ListParagraph"/>
        <w:numPr>
          <w:ilvl w:val="0"/>
          <w:numId w:val="4"/>
        </w:numPr>
        <w:rPr>
          <w:b/>
        </w:rPr>
      </w:pPr>
      <w:r>
        <w:t>leverage</w:t>
      </w:r>
    </w:p>
    <w:p w:rsidR="002201E9" w:rsidRPr="005C3DDE" w:rsidRDefault="002201E9" w:rsidP="002201E9">
      <w:pPr>
        <w:rPr>
          <w:b/>
          <w:u w:val="single"/>
        </w:rPr>
      </w:pPr>
      <w:r w:rsidRPr="005C3DDE">
        <w:rPr>
          <w:b/>
          <w:u w:val="single"/>
        </w:rPr>
        <w:t>The financial system</w:t>
      </w:r>
    </w:p>
    <w:p w:rsidR="002201E9" w:rsidRPr="00DB4B99" w:rsidRDefault="002201E9" w:rsidP="002201E9">
      <w:pPr>
        <w:rPr>
          <w:b/>
        </w:rPr>
      </w:pPr>
      <w:r w:rsidRPr="003D1226">
        <w:rPr>
          <w:b/>
        </w:rPr>
        <w:t xml:space="preserve">The financial system:  risk, leverage, concentration and correlation of risk, and increased risk of the financial sector (e.g., growth of speculative trading, market making, interconnections, less regulated markets, and institutional scale) </w:t>
      </w:r>
    </w:p>
    <w:p w:rsidR="002201E9" w:rsidRPr="00DB4B99" w:rsidRDefault="002201E9" w:rsidP="002201E9">
      <w:pPr>
        <w:pStyle w:val="ListParagraph"/>
        <w:numPr>
          <w:ilvl w:val="0"/>
          <w:numId w:val="8"/>
        </w:numPr>
        <w:rPr>
          <w:b/>
        </w:rPr>
      </w:pPr>
      <w:r w:rsidRPr="00DB4B99">
        <w:rPr>
          <w:b/>
        </w:rPr>
        <w:t>Risk</w:t>
      </w:r>
    </w:p>
    <w:p w:rsidR="002201E9" w:rsidRPr="00DB4B99" w:rsidRDefault="002201E9" w:rsidP="002201E9">
      <w:pPr>
        <w:pStyle w:val="ListParagraph"/>
        <w:numPr>
          <w:ilvl w:val="0"/>
          <w:numId w:val="8"/>
        </w:numPr>
        <w:rPr>
          <w:b/>
        </w:rPr>
      </w:pPr>
      <w:r w:rsidRPr="00DB4B99">
        <w:rPr>
          <w:b/>
        </w:rPr>
        <w:t>Leverage</w:t>
      </w:r>
    </w:p>
    <w:p w:rsidR="002201E9" w:rsidRPr="00DB4B99" w:rsidRDefault="002201E9" w:rsidP="00C63D58">
      <w:pPr>
        <w:pStyle w:val="ListParagraph"/>
        <w:numPr>
          <w:ilvl w:val="0"/>
          <w:numId w:val="8"/>
        </w:numPr>
        <w:spacing w:beforeLines="60" w:afterLines="60" w:line="240" w:lineRule="auto"/>
        <w:rPr>
          <w:b/>
        </w:rPr>
      </w:pPr>
      <w:r w:rsidRPr="00DB4B99">
        <w:rPr>
          <w:b/>
        </w:rPr>
        <w:t>Concentration of risk, correlation of risk</w:t>
      </w:r>
    </w:p>
    <w:p w:rsidR="002201E9" w:rsidRDefault="002201E9" w:rsidP="002201E9">
      <w:pPr>
        <w:pStyle w:val="ListParagraph"/>
        <w:numPr>
          <w:ilvl w:val="0"/>
          <w:numId w:val="8"/>
        </w:numPr>
      </w:pPr>
      <w:r>
        <w:rPr>
          <w:b/>
        </w:rPr>
        <w:t>Increased risk of the financial sector</w:t>
      </w:r>
    </w:p>
    <w:p w:rsidR="002201E9" w:rsidRPr="00E40001" w:rsidRDefault="002201E9" w:rsidP="002201E9">
      <w:pPr>
        <w:pStyle w:val="ListParagraph"/>
        <w:numPr>
          <w:ilvl w:val="1"/>
          <w:numId w:val="8"/>
        </w:numPr>
        <w:rPr>
          <w:b/>
        </w:rPr>
      </w:pPr>
      <w:r w:rsidRPr="00E40001">
        <w:rPr>
          <w:b/>
        </w:rPr>
        <w:t>Growth of speculative trading</w:t>
      </w:r>
    </w:p>
    <w:p w:rsidR="002201E9" w:rsidRPr="00E40001" w:rsidRDefault="002201E9" w:rsidP="002201E9">
      <w:pPr>
        <w:pStyle w:val="ListParagraph"/>
        <w:numPr>
          <w:ilvl w:val="1"/>
          <w:numId w:val="8"/>
        </w:numPr>
        <w:rPr>
          <w:b/>
        </w:rPr>
      </w:pPr>
      <w:r w:rsidRPr="00E40001">
        <w:rPr>
          <w:b/>
        </w:rPr>
        <w:t>Growth of market making</w:t>
      </w:r>
    </w:p>
    <w:p w:rsidR="002201E9" w:rsidRPr="00E40001" w:rsidRDefault="002201E9" w:rsidP="002201E9">
      <w:pPr>
        <w:pStyle w:val="ListParagraph"/>
        <w:numPr>
          <w:ilvl w:val="1"/>
          <w:numId w:val="8"/>
        </w:numPr>
        <w:rPr>
          <w:b/>
        </w:rPr>
      </w:pPr>
      <w:r w:rsidRPr="00E40001">
        <w:rPr>
          <w:b/>
        </w:rPr>
        <w:t>Increased interconnections</w:t>
      </w:r>
    </w:p>
    <w:p w:rsidR="002201E9" w:rsidRPr="00E40001" w:rsidRDefault="002201E9" w:rsidP="002201E9">
      <w:pPr>
        <w:pStyle w:val="ListParagraph"/>
        <w:numPr>
          <w:ilvl w:val="1"/>
          <w:numId w:val="8"/>
        </w:numPr>
        <w:rPr>
          <w:b/>
        </w:rPr>
      </w:pPr>
      <w:r w:rsidRPr="00E40001">
        <w:rPr>
          <w:b/>
        </w:rPr>
        <w:t>Growth of less regulated markets</w:t>
      </w:r>
    </w:p>
    <w:p w:rsidR="002201E9" w:rsidRPr="00E40001" w:rsidRDefault="002201E9" w:rsidP="002201E9">
      <w:pPr>
        <w:pStyle w:val="ListParagraph"/>
        <w:numPr>
          <w:ilvl w:val="1"/>
          <w:numId w:val="8"/>
        </w:numPr>
        <w:rPr>
          <w:b/>
        </w:rPr>
      </w:pPr>
      <w:r w:rsidRPr="00E40001">
        <w:rPr>
          <w:b/>
        </w:rPr>
        <w:t>Growth of institutional scale</w:t>
      </w:r>
    </w:p>
    <w:p w:rsidR="002201E9" w:rsidRDefault="002201E9" w:rsidP="00C63D58">
      <w:pPr>
        <w:pStyle w:val="ListParagraph"/>
        <w:numPr>
          <w:ilvl w:val="1"/>
          <w:numId w:val="8"/>
        </w:numPr>
        <w:spacing w:beforeLines="60" w:afterLines="60" w:line="240" w:lineRule="auto"/>
      </w:pPr>
      <w:r w:rsidRPr="00992C85">
        <w:t>Change from partnerships to public corps</w:t>
      </w:r>
    </w:p>
    <w:p w:rsidR="002201E9" w:rsidRPr="002201E9" w:rsidRDefault="002201E9" w:rsidP="00C63D58">
      <w:pPr>
        <w:pStyle w:val="ListParagraph"/>
        <w:numPr>
          <w:ilvl w:val="1"/>
          <w:numId w:val="8"/>
        </w:numPr>
        <w:spacing w:beforeLines="60" w:afterLines="60" w:line="240" w:lineRule="auto"/>
      </w:pPr>
      <w:r w:rsidRPr="00992C85">
        <w:t>Technology</w:t>
      </w:r>
      <w:r w:rsidRPr="005C3DDE">
        <w:rPr>
          <w:b/>
        </w:rPr>
        <w:t xml:space="preserve"> </w:t>
      </w:r>
    </w:p>
    <w:p w:rsidR="002201E9" w:rsidRPr="005C3DDE" w:rsidRDefault="002201E9" w:rsidP="002201E9">
      <w:pPr>
        <w:rPr>
          <w:b/>
          <w:u w:val="single"/>
        </w:rPr>
      </w:pPr>
      <w:r w:rsidRPr="005C3DDE">
        <w:rPr>
          <w:b/>
          <w:u w:val="single"/>
        </w:rPr>
        <w:t>Management of financial institutions</w:t>
      </w:r>
    </w:p>
    <w:p w:rsidR="002201E9" w:rsidRPr="00EF5BB3" w:rsidRDefault="002201E9" w:rsidP="002201E9">
      <w:pPr>
        <w:rPr>
          <w:b/>
        </w:rPr>
      </w:pPr>
      <w:r w:rsidRPr="003D1226">
        <w:rPr>
          <w:b/>
        </w:rPr>
        <w:t>Management of financial institutions:  risk management and risk taking; corporate governance; compensation; incentive structures; conflicts of interest; and corporate responsibility and practices</w:t>
      </w:r>
    </w:p>
    <w:p w:rsidR="002201E9" w:rsidRPr="00EF5BB3" w:rsidRDefault="002201E9" w:rsidP="002201E9">
      <w:pPr>
        <w:pStyle w:val="ListParagraph"/>
        <w:numPr>
          <w:ilvl w:val="0"/>
          <w:numId w:val="5"/>
        </w:numPr>
        <w:rPr>
          <w:b/>
        </w:rPr>
      </w:pPr>
      <w:r w:rsidRPr="00EF5BB3">
        <w:rPr>
          <w:b/>
        </w:rPr>
        <w:lastRenderedPageBreak/>
        <w:t>risk management</w:t>
      </w:r>
      <w:r w:rsidRPr="00EE6943">
        <w:t xml:space="preserve"> </w:t>
      </w:r>
      <w:r w:rsidRPr="00EE6943">
        <w:rPr>
          <w:b/>
        </w:rPr>
        <w:t>and risk taking</w:t>
      </w:r>
    </w:p>
    <w:p w:rsidR="002201E9" w:rsidRDefault="002201E9" w:rsidP="002201E9">
      <w:pPr>
        <w:pStyle w:val="ListParagraph"/>
        <w:numPr>
          <w:ilvl w:val="1"/>
          <w:numId w:val="5"/>
        </w:numPr>
      </w:pPr>
      <w:r>
        <w:t>use of models and financial engineering</w:t>
      </w:r>
    </w:p>
    <w:p w:rsidR="002201E9" w:rsidRDefault="002201E9" w:rsidP="002201E9">
      <w:pPr>
        <w:pStyle w:val="ListParagraph"/>
        <w:numPr>
          <w:ilvl w:val="1"/>
          <w:numId w:val="5"/>
        </w:numPr>
      </w:pPr>
      <w:r>
        <w:t>failure to act in the face of warnings</w:t>
      </w:r>
    </w:p>
    <w:p w:rsidR="002201E9" w:rsidRDefault="002201E9" w:rsidP="002201E9">
      <w:pPr>
        <w:pStyle w:val="ListParagraph"/>
        <w:numPr>
          <w:ilvl w:val="0"/>
          <w:numId w:val="5"/>
        </w:numPr>
        <w:rPr>
          <w:b/>
        </w:rPr>
      </w:pPr>
      <w:r w:rsidRPr="00EF5BB3">
        <w:rPr>
          <w:b/>
        </w:rPr>
        <w:t>corporate governance</w:t>
      </w:r>
    </w:p>
    <w:p w:rsidR="002201E9" w:rsidRDefault="002201E9" w:rsidP="002201E9">
      <w:pPr>
        <w:pStyle w:val="ListParagraph"/>
        <w:numPr>
          <w:ilvl w:val="1"/>
          <w:numId w:val="5"/>
        </w:numPr>
      </w:pPr>
      <w:r>
        <w:t>transparency (e.g., off-balance sheet)</w:t>
      </w:r>
    </w:p>
    <w:p w:rsidR="002201E9" w:rsidRPr="00422618" w:rsidRDefault="002201E9" w:rsidP="002201E9">
      <w:pPr>
        <w:pStyle w:val="ListParagraph"/>
        <w:numPr>
          <w:ilvl w:val="1"/>
          <w:numId w:val="5"/>
        </w:numPr>
      </w:pPr>
      <w:r>
        <w:t>accountability/standard of care</w:t>
      </w:r>
    </w:p>
    <w:p w:rsidR="002201E9" w:rsidRDefault="002201E9" w:rsidP="002201E9">
      <w:pPr>
        <w:pStyle w:val="ListParagraph"/>
        <w:numPr>
          <w:ilvl w:val="0"/>
          <w:numId w:val="5"/>
        </w:numPr>
        <w:rPr>
          <w:b/>
        </w:rPr>
      </w:pPr>
      <w:r w:rsidRPr="00EF5BB3">
        <w:rPr>
          <w:b/>
        </w:rPr>
        <w:t>compensation</w:t>
      </w:r>
    </w:p>
    <w:p w:rsidR="002201E9" w:rsidRPr="00EE6943" w:rsidRDefault="002201E9" w:rsidP="002201E9">
      <w:pPr>
        <w:pStyle w:val="ListParagraph"/>
        <w:numPr>
          <w:ilvl w:val="1"/>
          <w:numId w:val="5"/>
        </w:numPr>
        <w:rPr>
          <w:b/>
        </w:rPr>
      </w:pPr>
      <w:r>
        <w:t>focus on short term</w:t>
      </w:r>
    </w:p>
    <w:p w:rsidR="002201E9" w:rsidRPr="00EF5BB3" w:rsidRDefault="002201E9" w:rsidP="002201E9">
      <w:pPr>
        <w:pStyle w:val="ListParagraph"/>
        <w:numPr>
          <w:ilvl w:val="1"/>
          <w:numId w:val="5"/>
        </w:numPr>
        <w:rPr>
          <w:b/>
        </w:rPr>
      </w:pPr>
      <w:r>
        <w:t>size and structure</w:t>
      </w:r>
    </w:p>
    <w:p w:rsidR="002201E9" w:rsidRPr="00EF5BB3" w:rsidRDefault="002201E9" w:rsidP="002201E9">
      <w:pPr>
        <w:pStyle w:val="ListParagraph"/>
        <w:numPr>
          <w:ilvl w:val="0"/>
          <w:numId w:val="5"/>
        </w:numPr>
        <w:rPr>
          <w:b/>
        </w:rPr>
      </w:pPr>
      <w:r w:rsidRPr="00EF5BB3">
        <w:rPr>
          <w:b/>
        </w:rPr>
        <w:t>incentive structures</w:t>
      </w:r>
    </w:p>
    <w:p w:rsidR="002201E9" w:rsidRPr="00EF5BB3" w:rsidRDefault="002201E9" w:rsidP="002201E9">
      <w:pPr>
        <w:pStyle w:val="ListParagraph"/>
        <w:numPr>
          <w:ilvl w:val="0"/>
          <w:numId w:val="5"/>
        </w:numPr>
        <w:rPr>
          <w:b/>
        </w:rPr>
      </w:pPr>
      <w:r w:rsidRPr="00EF5BB3">
        <w:rPr>
          <w:b/>
        </w:rPr>
        <w:t>conflicts of interest</w:t>
      </w:r>
    </w:p>
    <w:p w:rsidR="002201E9" w:rsidRDefault="002201E9" w:rsidP="002201E9">
      <w:pPr>
        <w:pStyle w:val="ListParagraph"/>
        <w:numPr>
          <w:ilvl w:val="0"/>
          <w:numId w:val="5"/>
        </w:numPr>
        <w:rPr>
          <w:b/>
        </w:rPr>
      </w:pPr>
      <w:r w:rsidRPr="00EF5BB3">
        <w:rPr>
          <w:b/>
        </w:rPr>
        <w:t>corporate responsibility</w:t>
      </w:r>
      <w:r>
        <w:rPr>
          <w:b/>
        </w:rPr>
        <w:t xml:space="preserve"> and practices</w:t>
      </w:r>
    </w:p>
    <w:p w:rsidR="002201E9" w:rsidRPr="00276F95" w:rsidRDefault="002201E9" w:rsidP="002201E9">
      <w:pPr>
        <w:pStyle w:val="ListParagraph"/>
        <w:numPr>
          <w:ilvl w:val="1"/>
          <w:numId w:val="5"/>
        </w:numPr>
      </w:pPr>
      <w:r w:rsidRPr="00276F95">
        <w:t>ethics</w:t>
      </w:r>
    </w:p>
    <w:p w:rsidR="002201E9" w:rsidRDefault="002201E9" w:rsidP="002201E9">
      <w:pPr>
        <w:pStyle w:val="ListParagraph"/>
        <w:numPr>
          <w:ilvl w:val="1"/>
          <w:numId w:val="5"/>
        </w:numPr>
      </w:pPr>
      <w:r w:rsidRPr="00276F95">
        <w:t>inappropriate business practices</w:t>
      </w:r>
    </w:p>
    <w:p w:rsidR="005E6C1D" w:rsidRPr="005C3DDE" w:rsidRDefault="005E6C1D" w:rsidP="005E6C1D">
      <w:pPr>
        <w:rPr>
          <w:b/>
          <w:u w:val="single"/>
        </w:rPr>
      </w:pPr>
      <w:r w:rsidRPr="005C3DDE">
        <w:rPr>
          <w:b/>
          <w:u w:val="single"/>
        </w:rPr>
        <w:t>Too big to fail</w:t>
      </w:r>
    </w:p>
    <w:p w:rsidR="005E6C1D" w:rsidRPr="00DB4B99" w:rsidRDefault="005E6C1D" w:rsidP="005E6C1D">
      <w:pPr>
        <w:rPr>
          <w:b/>
        </w:rPr>
      </w:pPr>
      <w:r w:rsidRPr="00567279">
        <w:rPr>
          <w:b/>
          <w:i/>
        </w:rPr>
        <w:t>Too big to fail</w:t>
      </w:r>
      <w:r w:rsidRPr="003D1226">
        <w:rPr>
          <w:b/>
        </w:rPr>
        <w:t>:  moral hazard, expectation of government response to financial crises</w:t>
      </w:r>
      <w:r>
        <w:rPr>
          <w:b/>
        </w:rPr>
        <w:t>,</w:t>
      </w:r>
      <w:r w:rsidRPr="003D1226">
        <w:rPr>
          <w:b/>
        </w:rPr>
        <w:t xml:space="preserve"> and too-big/important-to-fail financial institutions (including the GSEs)</w:t>
      </w:r>
    </w:p>
    <w:p w:rsidR="005E6C1D" w:rsidRPr="00871382" w:rsidRDefault="005E6C1D" w:rsidP="005E6C1D">
      <w:pPr>
        <w:pStyle w:val="ListParagraph"/>
        <w:numPr>
          <w:ilvl w:val="0"/>
          <w:numId w:val="7"/>
        </w:numPr>
        <w:rPr>
          <w:b/>
        </w:rPr>
      </w:pPr>
      <w:r w:rsidRPr="00871382">
        <w:rPr>
          <w:b/>
        </w:rPr>
        <w:t>Moral hazard</w:t>
      </w:r>
    </w:p>
    <w:p w:rsidR="005E6C1D" w:rsidRPr="00871382" w:rsidRDefault="005E6C1D" w:rsidP="005E6C1D">
      <w:pPr>
        <w:pStyle w:val="ListParagraph"/>
        <w:numPr>
          <w:ilvl w:val="0"/>
          <w:numId w:val="7"/>
        </w:numPr>
        <w:rPr>
          <w:b/>
        </w:rPr>
      </w:pPr>
      <w:r w:rsidRPr="00871382">
        <w:rPr>
          <w:b/>
        </w:rPr>
        <w:t>Expectations of government intervention</w:t>
      </w:r>
    </w:p>
    <w:p w:rsidR="005E6C1D" w:rsidRPr="005E6C1D" w:rsidRDefault="005E6C1D" w:rsidP="005E6C1D">
      <w:pPr>
        <w:pStyle w:val="ListParagraph"/>
        <w:numPr>
          <w:ilvl w:val="0"/>
          <w:numId w:val="7"/>
        </w:numPr>
        <w:rPr>
          <w:b/>
        </w:rPr>
      </w:pPr>
      <w:r>
        <w:rPr>
          <w:b/>
        </w:rPr>
        <w:t>Scale of institutions</w:t>
      </w:r>
    </w:p>
    <w:p w:rsidR="0020153E" w:rsidRPr="005C3DDE" w:rsidRDefault="0020153E" w:rsidP="0020153E">
      <w:pPr>
        <w:rPr>
          <w:b/>
          <w:u w:val="single"/>
        </w:rPr>
      </w:pPr>
      <w:r w:rsidRPr="005C3DDE">
        <w:rPr>
          <w:b/>
          <w:u w:val="single"/>
        </w:rPr>
        <w:t>The failure of large financial institutions: idiosyncratic versus systemic and common factors</w:t>
      </w:r>
    </w:p>
    <w:p w:rsidR="005E6C1D" w:rsidRPr="005C3DDE" w:rsidRDefault="005E6C1D" w:rsidP="005E6C1D">
      <w:pPr>
        <w:rPr>
          <w:b/>
          <w:u w:val="single"/>
        </w:rPr>
      </w:pPr>
      <w:r w:rsidRPr="005C3DDE">
        <w:rPr>
          <w:b/>
          <w:u w:val="single"/>
        </w:rPr>
        <w:t>Liquidity crisis:  panic, short-term debt markets, transparency, interconnections</w:t>
      </w:r>
    </w:p>
    <w:p w:rsidR="0020153E" w:rsidRDefault="0020153E" w:rsidP="0020153E">
      <w:pPr>
        <w:rPr>
          <w:b/>
          <w:u w:val="single"/>
        </w:rPr>
      </w:pPr>
      <w:r w:rsidRPr="005C3DDE">
        <w:rPr>
          <w:b/>
          <w:u w:val="single"/>
        </w:rPr>
        <w:t xml:space="preserve">Policy actions in response to crisis            </w:t>
      </w:r>
    </w:p>
    <w:p w:rsidR="0020153E" w:rsidRPr="004021B1" w:rsidRDefault="0020153E" w:rsidP="0020153E">
      <w:pPr>
        <w:pStyle w:val="ListParagraph"/>
        <w:numPr>
          <w:ilvl w:val="0"/>
          <w:numId w:val="10"/>
        </w:numPr>
      </w:pPr>
      <w:r w:rsidRPr="004021B1">
        <w:t>Bear Stearns</w:t>
      </w:r>
    </w:p>
    <w:p w:rsidR="0020153E" w:rsidRPr="004021B1" w:rsidRDefault="0020153E" w:rsidP="0020153E">
      <w:pPr>
        <w:pStyle w:val="ListParagraph"/>
        <w:numPr>
          <w:ilvl w:val="0"/>
          <w:numId w:val="10"/>
        </w:numPr>
      </w:pPr>
      <w:r w:rsidRPr="004021B1">
        <w:t>Lehman</w:t>
      </w:r>
    </w:p>
    <w:p w:rsidR="0020153E" w:rsidRPr="004021B1" w:rsidRDefault="0020153E" w:rsidP="0020153E">
      <w:pPr>
        <w:pStyle w:val="ListParagraph"/>
        <w:numPr>
          <w:ilvl w:val="0"/>
          <w:numId w:val="10"/>
        </w:numPr>
      </w:pPr>
      <w:r w:rsidRPr="004021B1">
        <w:t>Financial system support</w:t>
      </w:r>
    </w:p>
    <w:p w:rsidR="0020153E" w:rsidRDefault="0020153E" w:rsidP="0020153E">
      <w:pPr>
        <w:pStyle w:val="ListParagraph"/>
        <w:numPr>
          <w:ilvl w:val="0"/>
          <w:numId w:val="10"/>
        </w:numPr>
      </w:pPr>
      <w:r w:rsidRPr="004021B1">
        <w:t>TARP and other institutional support</w:t>
      </w:r>
    </w:p>
    <w:p w:rsidR="00014CBD" w:rsidRDefault="00014CBD" w:rsidP="00014CBD"/>
    <w:sectPr w:rsidR="00014CBD" w:rsidSect="004F42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3BD" w:rsidRDefault="00C003BD" w:rsidP="008C3A51">
      <w:pPr>
        <w:spacing w:after="0" w:line="240" w:lineRule="auto"/>
      </w:pPr>
      <w:r>
        <w:separator/>
      </w:r>
    </w:p>
  </w:endnote>
  <w:endnote w:type="continuationSeparator" w:id="0">
    <w:p w:rsidR="00C003BD" w:rsidRDefault="00C003BD" w:rsidP="008C3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7188"/>
      <w:docPartObj>
        <w:docPartGallery w:val="Page Numbers (Bottom of Page)"/>
        <w:docPartUnique/>
      </w:docPartObj>
    </w:sdtPr>
    <w:sdtContent>
      <w:p w:rsidR="008C3A51" w:rsidRDefault="00DB0295">
        <w:pPr>
          <w:pStyle w:val="Footer"/>
        </w:pPr>
        <w:fldSimple w:instr=" PAGE   \* MERGEFORMAT ">
          <w:r w:rsidR="00C63D58">
            <w:rPr>
              <w:noProof/>
            </w:rPr>
            <w:t>4</w:t>
          </w:r>
        </w:fldSimple>
      </w:p>
    </w:sdtContent>
  </w:sdt>
  <w:p w:rsidR="008C3A51" w:rsidRDefault="008C3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3BD" w:rsidRDefault="00C003BD" w:rsidP="008C3A51">
      <w:pPr>
        <w:spacing w:after="0" w:line="240" w:lineRule="auto"/>
      </w:pPr>
      <w:r>
        <w:separator/>
      </w:r>
    </w:p>
  </w:footnote>
  <w:footnote w:type="continuationSeparator" w:id="0">
    <w:p w:rsidR="00C003BD" w:rsidRDefault="00C003BD" w:rsidP="008C3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91F"/>
    <w:multiLevelType w:val="hybridMultilevel"/>
    <w:tmpl w:val="161A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11BD6"/>
    <w:multiLevelType w:val="hybridMultilevel"/>
    <w:tmpl w:val="8666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509C5"/>
    <w:multiLevelType w:val="hybridMultilevel"/>
    <w:tmpl w:val="E026AB7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nsid w:val="125C77B5"/>
    <w:multiLevelType w:val="hybridMultilevel"/>
    <w:tmpl w:val="27C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C7359"/>
    <w:multiLevelType w:val="hybridMultilevel"/>
    <w:tmpl w:val="ADDEAB58"/>
    <w:lvl w:ilvl="0" w:tplc="C6E6DD9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43C39"/>
    <w:multiLevelType w:val="hybridMultilevel"/>
    <w:tmpl w:val="2EE4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B6A9A"/>
    <w:multiLevelType w:val="hybridMultilevel"/>
    <w:tmpl w:val="E522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91857"/>
    <w:multiLevelType w:val="hybridMultilevel"/>
    <w:tmpl w:val="13AC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12F34"/>
    <w:multiLevelType w:val="hybridMultilevel"/>
    <w:tmpl w:val="1C4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F6E1F"/>
    <w:multiLevelType w:val="hybridMultilevel"/>
    <w:tmpl w:val="CA2A265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653F7"/>
    <w:multiLevelType w:val="hybridMultilevel"/>
    <w:tmpl w:val="C3703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E681B"/>
    <w:multiLevelType w:val="hybridMultilevel"/>
    <w:tmpl w:val="435C9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5"/>
  </w:num>
  <w:num w:numId="8">
    <w:abstractNumId w:val="10"/>
  </w:num>
  <w:num w:numId="9">
    <w:abstractNumId w:val="3"/>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79201B"/>
    <w:rsid w:val="00014CBD"/>
    <w:rsid w:val="00102F8E"/>
    <w:rsid w:val="00120420"/>
    <w:rsid w:val="00154BBF"/>
    <w:rsid w:val="001570BA"/>
    <w:rsid w:val="00165467"/>
    <w:rsid w:val="0016715A"/>
    <w:rsid w:val="001A622C"/>
    <w:rsid w:val="001C206C"/>
    <w:rsid w:val="0020153E"/>
    <w:rsid w:val="00201BEC"/>
    <w:rsid w:val="002201E9"/>
    <w:rsid w:val="002518B4"/>
    <w:rsid w:val="00276F95"/>
    <w:rsid w:val="002D2864"/>
    <w:rsid w:val="00327295"/>
    <w:rsid w:val="0036763B"/>
    <w:rsid w:val="00386ECE"/>
    <w:rsid w:val="003C2FB0"/>
    <w:rsid w:val="004021B1"/>
    <w:rsid w:val="00414F3F"/>
    <w:rsid w:val="00422618"/>
    <w:rsid w:val="00472452"/>
    <w:rsid w:val="004F2B0C"/>
    <w:rsid w:val="004F4205"/>
    <w:rsid w:val="00526BCD"/>
    <w:rsid w:val="00567279"/>
    <w:rsid w:val="00591085"/>
    <w:rsid w:val="005C3DDE"/>
    <w:rsid w:val="005E6C1D"/>
    <w:rsid w:val="00700BD1"/>
    <w:rsid w:val="00727B41"/>
    <w:rsid w:val="007508E6"/>
    <w:rsid w:val="007826CC"/>
    <w:rsid w:val="0079201B"/>
    <w:rsid w:val="007C44AD"/>
    <w:rsid w:val="007E6BFB"/>
    <w:rsid w:val="00871382"/>
    <w:rsid w:val="00883B9B"/>
    <w:rsid w:val="008B4C68"/>
    <w:rsid w:val="008C3A51"/>
    <w:rsid w:val="00947519"/>
    <w:rsid w:val="00992C85"/>
    <w:rsid w:val="009B0437"/>
    <w:rsid w:val="00A369C4"/>
    <w:rsid w:val="00A96E10"/>
    <w:rsid w:val="00B42569"/>
    <w:rsid w:val="00B63C59"/>
    <w:rsid w:val="00BD0D9D"/>
    <w:rsid w:val="00C003BD"/>
    <w:rsid w:val="00C63D58"/>
    <w:rsid w:val="00D01124"/>
    <w:rsid w:val="00D4264D"/>
    <w:rsid w:val="00D52ABC"/>
    <w:rsid w:val="00DB0295"/>
    <w:rsid w:val="00DB4B99"/>
    <w:rsid w:val="00E254A4"/>
    <w:rsid w:val="00E40001"/>
    <w:rsid w:val="00EB586E"/>
    <w:rsid w:val="00EE6943"/>
    <w:rsid w:val="00EF3FFB"/>
    <w:rsid w:val="00EF5BB3"/>
    <w:rsid w:val="00F1092B"/>
    <w:rsid w:val="00F162DB"/>
    <w:rsid w:val="00F51385"/>
    <w:rsid w:val="00F62CB6"/>
    <w:rsid w:val="00F62EDF"/>
    <w:rsid w:val="00F73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1B"/>
    <w:pPr>
      <w:ind w:left="720"/>
      <w:contextualSpacing/>
    </w:pPr>
  </w:style>
  <w:style w:type="paragraph" w:styleId="BalloonText">
    <w:name w:val="Balloon Text"/>
    <w:basedOn w:val="Normal"/>
    <w:link w:val="BalloonTextChar"/>
    <w:uiPriority w:val="99"/>
    <w:semiHidden/>
    <w:unhideWhenUsed/>
    <w:rsid w:val="00A3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C4"/>
    <w:rPr>
      <w:rFonts w:ascii="Tahoma" w:hAnsi="Tahoma" w:cs="Tahoma"/>
      <w:sz w:val="16"/>
      <w:szCs w:val="16"/>
    </w:rPr>
  </w:style>
  <w:style w:type="paragraph" w:styleId="Header">
    <w:name w:val="header"/>
    <w:basedOn w:val="Normal"/>
    <w:link w:val="HeaderChar"/>
    <w:uiPriority w:val="99"/>
    <w:semiHidden/>
    <w:unhideWhenUsed/>
    <w:rsid w:val="008C3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3A51"/>
  </w:style>
  <w:style w:type="paragraph" w:styleId="Footer">
    <w:name w:val="footer"/>
    <w:basedOn w:val="Normal"/>
    <w:link w:val="FooterChar"/>
    <w:uiPriority w:val="99"/>
    <w:unhideWhenUsed/>
    <w:rsid w:val="008C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51"/>
  </w:style>
  <w:style w:type="paragraph" w:styleId="PlainText">
    <w:name w:val="Plain Text"/>
    <w:basedOn w:val="Normal"/>
    <w:link w:val="PlainTextChar"/>
    <w:uiPriority w:val="99"/>
    <w:semiHidden/>
    <w:unhideWhenUsed/>
    <w:rsid w:val="00C63D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3D5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05235555">
      <w:bodyDiv w:val="1"/>
      <w:marLeft w:val="0"/>
      <w:marRight w:val="0"/>
      <w:marTop w:val="0"/>
      <w:marBottom w:val="0"/>
      <w:divBdr>
        <w:top w:val="none" w:sz="0" w:space="0" w:color="auto"/>
        <w:left w:val="none" w:sz="0" w:space="0" w:color="auto"/>
        <w:bottom w:val="none" w:sz="0" w:space="0" w:color="auto"/>
        <w:right w:val="none" w:sz="0" w:space="0" w:color="auto"/>
      </w:divBdr>
    </w:div>
    <w:div w:id="680931665">
      <w:bodyDiv w:val="1"/>
      <w:marLeft w:val="0"/>
      <w:marRight w:val="0"/>
      <w:marTop w:val="0"/>
      <w:marBottom w:val="0"/>
      <w:divBdr>
        <w:top w:val="none" w:sz="0" w:space="0" w:color="auto"/>
        <w:left w:val="none" w:sz="0" w:space="0" w:color="auto"/>
        <w:bottom w:val="none" w:sz="0" w:space="0" w:color="auto"/>
        <w:right w:val="none" w:sz="0" w:space="0" w:color="auto"/>
      </w:divBdr>
    </w:div>
    <w:div w:id="718360024">
      <w:bodyDiv w:val="1"/>
      <w:marLeft w:val="0"/>
      <w:marRight w:val="0"/>
      <w:marTop w:val="0"/>
      <w:marBottom w:val="0"/>
      <w:divBdr>
        <w:top w:val="none" w:sz="0" w:space="0" w:color="auto"/>
        <w:left w:val="none" w:sz="0" w:space="0" w:color="auto"/>
        <w:bottom w:val="none" w:sz="0" w:space="0" w:color="auto"/>
        <w:right w:val="none" w:sz="0" w:space="0" w:color="auto"/>
      </w:divBdr>
    </w:div>
    <w:div w:id="1001393775">
      <w:bodyDiv w:val="1"/>
      <w:marLeft w:val="0"/>
      <w:marRight w:val="0"/>
      <w:marTop w:val="0"/>
      <w:marBottom w:val="0"/>
      <w:divBdr>
        <w:top w:val="none" w:sz="0" w:space="0" w:color="auto"/>
        <w:left w:val="none" w:sz="0" w:space="0" w:color="auto"/>
        <w:bottom w:val="none" w:sz="0" w:space="0" w:color="auto"/>
        <w:right w:val="none" w:sz="0" w:space="0" w:color="auto"/>
      </w:divBdr>
    </w:div>
    <w:div w:id="1351568413">
      <w:bodyDiv w:val="1"/>
      <w:marLeft w:val="0"/>
      <w:marRight w:val="0"/>
      <w:marTop w:val="0"/>
      <w:marBottom w:val="0"/>
      <w:divBdr>
        <w:top w:val="none" w:sz="0" w:space="0" w:color="auto"/>
        <w:left w:val="none" w:sz="0" w:space="0" w:color="auto"/>
        <w:bottom w:val="none" w:sz="0" w:space="0" w:color="auto"/>
        <w:right w:val="none" w:sz="0" w:space="0" w:color="auto"/>
      </w:divBdr>
    </w:div>
    <w:div w:id="14274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39F2565-65E8-4D8A-8E0D-6198644C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edelberg</dc:creator>
  <cp:lastModifiedBy>hallen</cp:lastModifiedBy>
  <cp:revision>2</cp:revision>
  <cp:lastPrinted>2010-08-31T17:05:00Z</cp:lastPrinted>
  <dcterms:created xsi:type="dcterms:W3CDTF">2010-09-22T18:46:00Z</dcterms:created>
  <dcterms:modified xsi:type="dcterms:W3CDTF">2010-09-22T18:46:00Z</dcterms:modified>
</cp:coreProperties>
</file>