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22" w:rsidRPr="00CB4D8B" w:rsidRDefault="00821722" w:rsidP="00821722">
      <w:pPr>
        <w:jc w:val="center"/>
        <w:rPr>
          <w:b/>
          <w:color w:val="000000"/>
          <w:sz w:val="23"/>
          <w:szCs w:val="23"/>
          <w:vertAlign w:val="baseline"/>
        </w:rPr>
      </w:pPr>
      <w:bookmarkStart w:id="0" w:name="a4"/>
      <w:bookmarkEnd w:id="0"/>
      <w:r w:rsidRPr="00CB4D8B">
        <w:rPr>
          <w:b/>
          <w:color w:val="000000"/>
          <w:sz w:val="23"/>
          <w:szCs w:val="23"/>
          <w:vertAlign w:val="baseline"/>
        </w:rPr>
        <w:t>MEMORANDUM FOR THE RECORD</w:t>
      </w:r>
    </w:p>
    <w:p w:rsidR="00821722" w:rsidRPr="00CB4D8B" w:rsidRDefault="00821722" w:rsidP="00821722">
      <w:pPr>
        <w:jc w:val="center"/>
        <w:rPr>
          <w:color w:val="000000"/>
          <w:sz w:val="23"/>
          <w:szCs w:val="23"/>
          <w:vertAlign w:val="baseline"/>
        </w:rPr>
      </w:pPr>
    </w:p>
    <w:p w:rsidR="00821722" w:rsidRPr="00C936AC" w:rsidRDefault="00821722" w:rsidP="00821722">
      <w:pPr>
        <w:rPr>
          <w:color w:val="000000"/>
          <w:vertAlign w:val="baseline"/>
        </w:rPr>
      </w:pPr>
      <w:r w:rsidRPr="00C936AC">
        <w:rPr>
          <w:color w:val="000000"/>
          <w:u w:val="single"/>
          <w:vertAlign w:val="baseline"/>
        </w:rPr>
        <w:t>Event</w:t>
      </w:r>
      <w:r w:rsidRPr="00C936AC">
        <w:rPr>
          <w:color w:val="000000"/>
          <w:vertAlign w:val="baseline"/>
        </w:rPr>
        <w:t>:  Meeting with Alan Greenspan, former Chairman of the Federal Reserve Board of Governors</w:t>
      </w:r>
    </w:p>
    <w:p w:rsidR="00821722" w:rsidRPr="00C936AC" w:rsidRDefault="00821722" w:rsidP="00821722">
      <w:pPr>
        <w:rPr>
          <w:color w:val="000000"/>
          <w:vertAlign w:val="baseline"/>
        </w:rPr>
      </w:pPr>
    </w:p>
    <w:p w:rsidR="00821722" w:rsidRPr="00C936AC" w:rsidRDefault="00821722" w:rsidP="00821722">
      <w:pPr>
        <w:rPr>
          <w:color w:val="000000"/>
          <w:vertAlign w:val="baseline"/>
        </w:rPr>
      </w:pPr>
      <w:r w:rsidRPr="00C936AC">
        <w:rPr>
          <w:color w:val="000000"/>
          <w:u w:val="single"/>
          <w:vertAlign w:val="baseline"/>
        </w:rPr>
        <w:t>Type of Event</w:t>
      </w:r>
      <w:r w:rsidRPr="00C936AC">
        <w:rPr>
          <w:color w:val="000000"/>
          <w:vertAlign w:val="baseline"/>
        </w:rPr>
        <w:t>: Group interview</w:t>
      </w:r>
    </w:p>
    <w:p w:rsidR="00821722" w:rsidRPr="00C936AC" w:rsidRDefault="00821722" w:rsidP="00821722">
      <w:pPr>
        <w:rPr>
          <w:color w:val="000000"/>
          <w:vertAlign w:val="baseline"/>
        </w:rPr>
      </w:pPr>
    </w:p>
    <w:p w:rsidR="00821722" w:rsidRPr="00C936AC" w:rsidRDefault="00821722" w:rsidP="00821722">
      <w:pPr>
        <w:rPr>
          <w:color w:val="000000"/>
          <w:vertAlign w:val="baseline"/>
        </w:rPr>
      </w:pPr>
      <w:r w:rsidRPr="00C936AC">
        <w:rPr>
          <w:color w:val="000000"/>
          <w:u w:val="single"/>
          <w:vertAlign w:val="baseline"/>
        </w:rPr>
        <w:t>Date of Event</w:t>
      </w:r>
      <w:r w:rsidRPr="00C936AC">
        <w:rPr>
          <w:color w:val="000000"/>
          <w:vertAlign w:val="baseline"/>
        </w:rPr>
        <w:t>: March 31, 2010, 10:00am</w:t>
      </w:r>
    </w:p>
    <w:p w:rsidR="00821722" w:rsidRPr="00C936AC" w:rsidRDefault="00821722" w:rsidP="00821722">
      <w:pPr>
        <w:rPr>
          <w:color w:val="000000"/>
          <w:vertAlign w:val="baseline"/>
        </w:rPr>
      </w:pPr>
    </w:p>
    <w:p w:rsidR="00821722" w:rsidRPr="00C936AC" w:rsidRDefault="00821722" w:rsidP="00821722">
      <w:pPr>
        <w:rPr>
          <w:color w:val="000000"/>
          <w:vertAlign w:val="baseline"/>
        </w:rPr>
      </w:pPr>
      <w:r w:rsidRPr="00C936AC">
        <w:rPr>
          <w:color w:val="000000"/>
          <w:u w:val="single"/>
          <w:vertAlign w:val="baseline"/>
        </w:rPr>
        <w:t>Team Leader</w:t>
      </w:r>
      <w:r w:rsidRPr="00C936AC">
        <w:rPr>
          <w:color w:val="000000"/>
          <w:vertAlign w:val="baseline"/>
        </w:rPr>
        <w:t>: Dixie Noonan</w:t>
      </w:r>
    </w:p>
    <w:p w:rsidR="00821722" w:rsidRPr="00C936AC" w:rsidRDefault="00821722" w:rsidP="00821722">
      <w:pPr>
        <w:rPr>
          <w:color w:val="000000"/>
          <w:vertAlign w:val="baseline"/>
        </w:rPr>
      </w:pPr>
    </w:p>
    <w:p w:rsidR="00821722" w:rsidRPr="00C936AC" w:rsidRDefault="00821722" w:rsidP="00821722">
      <w:pPr>
        <w:rPr>
          <w:color w:val="000000"/>
          <w:vertAlign w:val="baseline"/>
        </w:rPr>
      </w:pPr>
      <w:r w:rsidRPr="00C936AC">
        <w:rPr>
          <w:color w:val="000000"/>
          <w:u w:val="single"/>
          <w:vertAlign w:val="baseline"/>
        </w:rPr>
        <w:t>Location</w:t>
      </w:r>
      <w:r w:rsidRPr="00C936AC">
        <w:rPr>
          <w:color w:val="000000"/>
          <w:vertAlign w:val="baseline"/>
        </w:rPr>
        <w:t>: 1133 Connecticut Avenue NW, Suite 810, Washington, DC; Greenspan Associates Conference Room</w:t>
      </w:r>
    </w:p>
    <w:p w:rsidR="00821722" w:rsidRPr="00C936AC" w:rsidRDefault="00821722" w:rsidP="00821722">
      <w:pPr>
        <w:rPr>
          <w:color w:val="000000"/>
          <w:vertAlign w:val="baseline"/>
        </w:rPr>
      </w:pPr>
    </w:p>
    <w:p w:rsidR="00821722" w:rsidRPr="00C936AC" w:rsidRDefault="00821722" w:rsidP="00821722">
      <w:pPr>
        <w:rPr>
          <w:color w:val="000000"/>
          <w:vertAlign w:val="baseline"/>
        </w:rPr>
      </w:pPr>
      <w:r w:rsidRPr="00C936AC">
        <w:rPr>
          <w:color w:val="000000"/>
          <w:u w:val="single"/>
          <w:vertAlign w:val="baseline"/>
        </w:rPr>
        <w:t>Participants - Non-Commission</w:t>
      </w:r>
      <w:r w:rsidRPr="00C936AC">
        <w:rPr>
          <w:color w:val="000000"/>
          <w:vertAlign w:val="baseline"/>
        </w:rPr>
        <w:t xml:space="preserve">: </w:t>
      </w:r>
    </w:p>
    <w:p w:rsidR="00821722" w:rsidRPr="00C936AC" w:rsidRDefault="00821722" w:rsidP="00821722">
      <w:pPr>
        <w:rPr>
          <w:color w:val="000000"/>
          <w:vertAlign w:val="baseline"/>
        </w:rPr>
      </w:pPr>
    </w:p>
    <w:p w:rsidR="00821722" w:rsidRPr="00C936AC" w:rsidRDefault="00821722" w:rsidP="00821722">
      <w:pPr>
        <w:pStyle w:val="ListParagraph"/>
        <w:widowControl/>
        <w:numPr>
          <w:ilvl w:val="0"/>
          <w:numId w:val="3"/>
        </w:numPr>
        <w:autoSpaceDE/>
        <w:autoSpaceDN/>
        <w:adjustRightInd/>
        <w:spacing w:after="200" w:line="276" w:lineRule="auto"/>
        <w:contextualSpacing/>
        <w:rPr>
          <w:color w:val="000000"/>
          <w:vertAlign w:val="baseline"/>
        </w:rPr>
      </w:pPr>
      <w:r w:rsidRPr="00C936AC">
        <w:rPr>
          <w:color w:val="000000"/>
          <w:vertAlign w:val="baseline"/>
        </w:rPr>
        <w:t>Dr. Alan Greenspan, former Chairman of the Federal Reserve Board of Governors</w:t>
      </w:r>
    </w:p>
    <w:p w:rsidR="00821722" w:rsidRPr="00C936AC" w:rsidRDefault="00821722" w:rsidP="00821722">
      <w:pPr>
        <w:pStyle w:val="ListParagraph"/>
        <w:widowControl/>
        <w:numPr>
          <w:ilvl w:val="0"/>
          <w:numId w:val="3"/>
        </w:numPr>
        <w:autoSpaceDE/>
        <w:autoSpaceDN/>
        <w:adjustRightInd/>
        <w:spacing w:after="200" w:line="276" w:lineRule="auto"/>
        <w:contextualSpacing/>
        <w:rPr>
          <w:color w:val="000000"/>
          <w:vertAlign w:val="baseline"/>
        </w:rPr>
      </w:pPr>
      <w:r w:rsidRPr="00C936AC">
        <w:rPr>
          <w:color w:val="000000"/>
          <w:vertAlign w:val="baseline"/>
        </w:rPr>
        <w:t xml:space="preserve">Lisa </w:t>
      </w:r>
      <w:proofErr w:type="spellStart"/>
      <w:r w:rsidRPr="00C936AC">
        <w:rPr>
          <w:color w:val="000000"/>
          <w:vertAlign w:val="baseline"/>
        </w:rPr>
        <w:t>Whisenhunt</w:t>
      </w:r>
      <w:proofErr w:type="spellEnd"/>
      <w:r w:rsidRPr="00C936AC">
        <w:rPr>
          <w:color w:val="000000"/>
          <w:vertAlign w:val="baseline"/>
        </w:rPr>
        <w:t>, Greenspan Associates</w:t>
      </w:r>
    </w:p>
    <w:p w:rsidR="00821722" w:rsidRPr="00C936AC" w:rsidRDefault="00821722" w:rsidP="00821722">
      <w:pPr>
        <w:pStyle w:val="ListParagraph"/>
        <w:widowControl/>
        <w:numPr>
          <w:ilvl w:val="0"/>
          <w:numId w:val="3"/>
        </w:numPr>
        <w:autoSpaceDE/>
        <w:autoSpaceDN/>
        <w:adjustRightInd/>
        <w:spacing w:after="200" w:line="276" w:lineRule="auto"/>
        <w:contextualSpacing/>
        <w:rPr>
          <w:color w:val="000000"/>
          <w:vertAlign w:val="baseline"/>
        </w:rPr>
      </w:pPr>
      <w:r w:rsidRPr="00C936AC">
        <w:rPr>
          <w:color w:val="000000"/>
          <w:vertAlign w:val="baseline"/>
        </w:rPr>
        <w:t>Brian Brooks, O’Melveny &amp; Myers LLP</w:t>
      </w:r>
    </w:p>
    <w:p w:rsidR="00821722" w:rsidRPr="00C936AC" w:rsidRDefault="00821722" w:rsidP="00821722">
      <w:pPr>
        <w:pStyle w:val="ListParagraph"/>
        <w:widowControl/>
        <w:numPr>
          <w:ilvl w:val="0"/>
          <w:numId w:val="3"/>
        </w:numPr>
        <w:autoSpaceDE/>
        <w:autoSpaceDN/>
        <w:adjustRightInd/>
        <w:spacing w:after="200" w:line="276" w:lineRule="auto"/>
        <w:contextualSpacing/>
        <w:rPr>
          <w:color w:val="000000"/>
          <w:vertAlign w:val="baseline"/>
        </w:rPr>
      </w:pPr>
      <w:r w:rsidRPr="00C936AC">
        <w:rPr>
          <w:color w:val="000000"/>
          <w:vertAlign w:val="baseline"/>
        </w:rPr>
        <w:t xml:space="preserve">A.B. </w:t>
      </w:r>
      <w:proofErr w:type="spellStart"/>
      <w:r w:rsidRPr="00C936AC">
        <w:rPr>
          <w:color w:val="000000"/>
          <w:vertAlign w:val="baseline"/>
        </w:rPr>
        <w:t>Culvahouse</w:t>
      </w:r>
      <w:proofErr w:type="spellEnd"/>
      <w:r w:rsidRPr="00C936AC">
        <w:rPr>
          <w:color w:val="000000"/>
          <w:vertAlign w:val="baseline"/>
        </w:rPr>
        <w:t>, O’Melveny &amp; Myers LLP</w:t>
      </w:r>
    </w:p>
    <w:p w:rsidR="00821722" w:rsidRPr="00C936AC" w:rsidRDefault="00821722" w:rsidP="00821722">
      <w:pPr>
        <w:rPr>
          <w:color w:val="000000"/>
          <w:vertAlign w:val="baseline"/>
        </w:rPr>
      </w:pPr>
      <w:r w:rsidRPr="00C936AC">
        <w:rPr>
          <w:color w:val="000000"/>
          <w:u w:val="single"/>
          <w:vertAlign w:val="baseline"/>
        </w:rPr>
        <w:t>Participants - Commission</w:t>
      </w:r>
      <w:r w:rsidRPr="00C936AC">
        <w:rPr>
          <w:color w:val="000000"/>
          <w:vertAlign w:val="baseline"/>
        </w:rPr>
        <w:t xml:space="preserve">: </w:t>
      </w:r>
    </w:p>
    <w:p w:rsidR="00821722" w:rsidRPr="00C936AC" w:rsidRDefault="00821722" w:rsidP="00821722">
      <w:pPr>
        <w:rPr>
          <w:color w:val="000000"/>
          <w:vertAlign w:val="baseline"/>
        </w:rPr>
      </w:pPr>
    </w:p>
    <w:p w:rsidR="00821722" w:rsidRPr="00C936AC" w:rsidRDefault="00821722" w:rsidP="00821722">
      <w:pPr>
        <w:pStyle w:val="ListParagraph"/>
        <w:widowControl/>
        <w:numPr>
          <w:ilvl w:val="0"/>
          <w:numId w:val="4"/>
        </w:numPr>
        <w:contextualSpacing/>
        <w:rPr>
          <w:color w:val="000000"/>
          <w:vertAlign w:val="baseline"/>
        </w:rPr>
      </w:pPr>
      <w:r w:rsidRPr="00C936AC">
        <w:rPr>
          <w:color w:val="000000"/>
          <w:vertAlign w:val="baseline"/>
        </w:rPr>
        <w:t>Dixie Noonan</w:t>
      </w:r>
    </w:p>
    <w:p w:rsidR="00821722" w:rsidRPr="00C936AC" w:rsidRDefault="00821722" w:rsidP="00821722">
      <w:pPr>
        <w:pStyle w:val="ListParagraph"/>
        <w:widowControl/>
        <w:numPr>
          <w:ilvl w:val="0"/>
          <w:numId w:val="4"/>
        </w:numPr>
        <w:contextualSpacing/>
        <w:rPr>
          <w:color w:val="000000"/>
          <w:vertAlign w:val="baseline"/>
        </w:rPr>
      </w:pPr>
      <w:r w:rsidRPr="00C936AC">
        <w:rPr>
          <w:color w:val="000000"/>
          <w:vertAlign w:val="baseline"/>
        </w:rPr>
        <w:t>Tom Greene</w:t>
      </w:r>
    </w:p>
    <w:p w:rsidR="00821722" w:rsidRPr="00C936AC" w:rsidRDefault="00821722" w:rsidP="00821722">
      <w:pPr>
        <w:pStyle w:val="ListParagraph"/>
        <w:widowControl/>
        <w:numPr>
          <w:ilvl w:val="0"/>
          <w:numId w:val="4"/>
        </w:numPr>
        <w:contextualSpacing/>
        <w:rPr>
          <w:color w:val="000000"/>
          <w:vertAlign w:val="baseline"/>
        </w:rPr>
      </w:pPr>
      <w:r w:rsidRPr="00C936AC">
        <w:rPr>
          <w:color w:val="000000"/>
          <w:vertAlign w:val="baseline"/>
        </w:rPr>
        <w:t>Bart Dzivi</w:t>
      </w:r>
    </w:p>
    <w:p w:rsidR="00821722" w:rsidRPr="00C936AC" w:rsidRDefault="00821722" w:rsidP="00821722">
      <w:pPr>
        <w:pStyle w:val="ListParagraph"/>
        <w:widowControl/>
        <w:numPr>
          <w:ilvl w:val="0"/>
          <w:numId w:val="4"/>
        </w:numPr>
        <w:contextualSpacing/>
        <w:rPr>
          <w:color w:val="000000"/>
          <w:vertAlign w:val="baseline"/>
        </w:rPr>
      </w:pPr>
      <w:r w:rsidRPr="00C936AC">
        <w:rPr>
          <w:color w:val="000000"/>
          <w:vertAlign w:val="baseline"/>
        </w:rPr>
        <w:t>Greg Feldberg</w:t>
      </w:r>
    </w:p>
    <w:p w:rsidR="00821722" w:rsidRPr="00C936AC" w:rsidRDefault="00821722" w:rsidP="00821722">
      <w:pPr>
        <w:pStyle w:val="ListParagraph"/>
        <w:widowControl/>
        <w:numPr>
          <w:ilvl w:val="0"/>
          <w:numId w:val="4"/>
        </w:numPr>
        <w:contextualSpacing/>
        <w:rPr>
          <w:color w:val="000000"/>
          <w:vertAlign w:val="baseline"/>
        </w:rPr>
      </w:pPr>
      <w:r w:rsidRPr="00C936AC">
        <w:rPr>
          <w:color w:val="000000"/>
          <w:vertAlign w:val="baseline"/>
        </w:rPr>
        <w:t>Karen Dubas</w:t>
      </w:r>
    </w:p>
    <w:p w:rsidR="00821722" w:rsidRPr="00C936AC" w:rsidRDefault="00821722" w:rsidP="00821722">
      <w:pPr>
        <w:rPr>
          <w:color w:val="000000"/>
          <w:u w:val="single"/>
          <w:vertAlign w:val="baseline"/>
        </w:rPr>
      </w:pPr>
    </w:p>
    <w:p w:rsidR="00821722" w:rsidRPr="00C936AC" w:rsidRDefault="00821722" w:rsidP="00821722">
      <w:pPr>
        <w:rPr>
          <w:color w:val="000000"/>
          <w:vertAlign w:val="baseline"/>
        </w:rPr>
      </w:pPr>
      <w:r w:rsidRPr="00C936AC">
        <w:rPr>
          <w:color w:val="000000"/>
          <w:u w:val="single"/>
          <w:vertAlign w:val="baseline"/>
        </w:rPr>
        <w:t>MFR Prepared by</w:t>
      </w:r>
      <w:r w:rsidRPr="00C936AC">
        <w:rPr>
          <w:color w:val="000000"/>
          <w:vertAlign w:val="baseline"/>
        </w:rPr>
        <w:t>: Karen Dubas</w:t>
      </w:r>
    </w:p>
    <w:p w:rsidR="00821722" w:rsidRPr="00C936AC" w:rsidRDefault="00821722" w:rsidP="00821722">
      <w:pPr>
        <w:rPr>
          <w:color w:val="000000"/>
          <w:vertAlign w:val="baseline"/>
        </w:rPr>
      </w:pPr>
    </w:p>
    <w:p w:rsidR="00821722" w:rsidRPr="00C936AC" w:rsidRDefault="00821722" w:rsidP="00821722">
      <w:pPr>
        <w:rPr>
          <w:color w:val="000000"/>
          <w:vertAlign w:val="baseline"/>
        </w:rPr>
      </w:pPr>
      <w:r w:rsidRPr="00C936AC">
        <w:rPr>
          <w:color w:val="000000"/>
          <w:u w:val="single"/>
          <w:vertAlign w:val="baseline"/>
        </w:rPr>
        <w:t>Date of MFR</w:t>
      </w:r>
      <w:r w:rsidRPr="00C936AC">
        <w:rPr>
          <w:color w:val="000000"/>
          <w:vertAlign w:val="baseline"/>
        </w:rPr>
        <w:t>: March 31, 2010</w:t>
      </w:r>
    </w:p>
    <w:p w:rsidR="00821722" w:rsidRPr="00C936AC" w:rsidRDefault="00821722" w:rsidP="00821722">
      <w:pPr>
        <w:rPr>
          <w:color w:val="000000"/>
          <w:vertAlign w:val="baseline"/>
        </w:rPr>
      </w:pPr>
    </w:p>
    <w:p w:rsidR="00821722" w:rsidRPr="00C936AC" w:rsidRDefault="00821722" w:rsidP="00821722">
      <w:pPr>
        <w:rPr>
          <w:color w:val="000000"/>
          <w:vertAlign w:val="baseline"/>
        </w:rPr>
      </w:pPr>
      <w:r w:rsidRPr="00C936AC">
        <w:rPr>
          <w:color w:val="000000"/>
          <w:u w:val="single"/>
          <w:vertAlign w:val="baseline"/>
        </w:rPr>
        <w:t>Summary of the Interview or Submission</w:t>
      </w:r>
      <w:r w:rsidRPr="00C936AC">
        <w:rPr>
          <w:color w:val="000000"/>
          <w:vertAlign w:val="baseline"/>
        </w:rPr>
        <w:t xml:space="preserve">:  </w:t>
      </w:r>
    </w:p>
    <w:p w:rsidR="00821722" w:rsidRDefault="00821722" w:rsidP="00821722">
      <w:pPr>
        <w:rPr>
          <w:sz w:val="23"/>
          <w:szCs w:val="23"/>
          <w:vertAlign w:val="baseline"/>
        </w:rPr>
      </w:pPr>
    </w:p>
    <w:p w:rsidR="00821722" w:rsidRPr="005A3687" w:rsidRDefault="00821722" w:rsidP="00821722">
      <w:pPr>
        <w:widowControl/>
        <w:spacing w:after="58"/>
        <w:rPr>
          <w:color w:val="FF0000"/>
          <w:vertAlign w:val="baseline"/>
        </w:rPr>
      </w:pPr>
      <w:r w:rsidRPr="005A3687">
        <w:rPr>
          <w:b/>
          <w:bCs/>
          <w:color w:val="FF0000"/>
          <w:vertAlign w:val="baseline"/>
        </w:rPr>
        <w:t>This MFR is a paraphrasing of the dialogue and should not be quoted as a transcript.</w:t>
      </w:r>
    </w:p>
    <w:p w:rsidR="00821722" w:rsidRPr="00CB4D8B" w:rsidRDefault="00821722" w:rsidP="00821722">
      <w:pPr>
        <w:rPr>
          <w:sz w:val="23"/>
          <w:szCs w:val="23"/>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NOONAN:</w:t>
      </w:r>
      <w:r>
        <w:rPr>
          <w:vertAlign w:val="baseline"/>
        </w:rPr>
        <w:t xml:space="preserve"> When can we expect to receive your written testimony?</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GREENSPAN:</w:t>
      </w:r>
      <w:r>
        <w:rPr>
          <w:vertAlign w:val="baseline"/>
        </w:rPr>
        <w:t xml:space="preserve"> I’ll try to make it by Friday, but it’s 50-50. </w:t>
      </w:r>
      <w:proofErr w:type="gramStart"/>
      <w:r>
        <w:rPr>
          <w:vertAlign w:val="baseline"/>
        </w:rPr>
        <w:t>Definitely first thing on Monday.</w:t>
      </w:r>
      <w:proofErr w:type="gramEnd"/>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NOONAN:</w:t>
      </w:r>
      <w:r>
        <w:rPr>
          <w:vertAlign w:val="baseline"/>
        </w:rPr>
        <w:t xml:space="preserve"> Thank you for meeting with us and for coming to testify next week. As you know, the focus of next week’s hearing is housing &amp; securitization, and that’s where I’d like to begin today</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lastRenderedPageBreak/>
        <w:t>Could you please describe how you viewed the Fed’s duty to protect consumers against unfair and deceptive lending practices under HOEPA?</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GREENSPAN:</w:t>
      </w:r>
      <w:r>
        <w:rPr>
          <w:vertAlign w:val="baseline"/>
        </w:rPr>
        <w:t xml:space="preserve"> I’m puzzled by the extent of the allegations that the Fed did nothing. In my day-by-day experience, I was confronted with a very large Consumer Affairs division of one to two hundred people who know as much about that subject as anyone. We have a subcommittee of members of the Board that oversaw the whole thing. There was considerable activism. I sat through innumerable meetings on HOEPA. The issues came up quite often.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 xml:space="preserve">My records show that we started off trying to devise how we would structure rules relative to HOEPA. We had hearings around the country that a lot of members of the Fed went to and reported to the Board as a whole about what was going on. From that we developed a set of rulings that have held up to this day.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 xml:space="preserve">We discussed the scope of what was under our jurisdiction and a number of issues about what had to be prohibited and issues of disclosure. There was a very significant initiative on financial education. As the years went on, there was a huge number of interagency guidance for regulated institutions.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 xml:space="preserve">When the issue came up that we didn’t make a good faith effort with the law, I thought what are they talking about? For that to be true, you have to have a whole lot of people at the Board level and throughout Consumer Affairs conspiring not to meet our statutory obligations. At the Fed, we have the best banking lawyers in the nation. You can’t get a better group of people to advise the Board about what the intention of Congress was—not only about what the law says, but what Congress had in mind when they passed the law.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 xml:space="preserve">A lot of legislation, in order to get passed, the language is fudged, and they leave it to the regulators to interpret what the fudged language means. The question was what could the Fed do that best complied with the intentions of the Congress as well as the language of the statute itself?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For the life of me, I couldn’t quite get this unusual history. That is not the history that I remembered.</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NOONAN:</w:t>
      </w:r>
      <w:r>
        <w:rPr>
          <w:vertAlign w:val="baseline"/>
        </w:rPr>
        <w:t xml:space="preserve"> Most of HOEPA focuses on mortgage refinancing, but there is a provision for the Fed to protect against much broader unfair and deceptive practices concerning all mortgage lending.  I am trying to distinguish between high cost refinancing rules under HOEPA and th</w:t>
      </w:r>
      <w:r w:rsidR="00F32915">
        <w:rPr>
          <w:vertAlign w:val="baseline"/>
        </w:rPr>
        <w:t>e part of the statute that tell</w:t>
      </w:r>
      <w:r>
        <w:rPr>
          <w:vertAlign w:val="baseline"/>
        </w:rPr>
        <w:t>s the Fed to regulate against broader unfair and deceptive practices.  What do you recall about internal discussions of regulating against unfair and deceptive lending practices more broadly?</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GREENSPAN:</w:t>
      </w:r>
      <w:r>
        <w:rPr>
          <w:vertAlign w:val="baseline"/>
        </w:rPr>
        <w:t xml:space="preserve"> I have partial recollections. One of the problems is that the notion of what is unfair and deceptive is not objective. There are certain practices so egregious that it’s black and white. For example, flipping refinancing in short order—</w:t>
      </w:r>
      <w:proofErr w:type="gramStart"/>
      <w:r>
        <w:rPr>
          <w:vertAlign w:val="baseline"/>
        </w:rPr>
        <w:t>getting people to turn over their mortgage in order to generate fees—that’s</w:t>
      </w:r>
      <w:proofErr w:type="gramEnd"/>
      <w:r>
        <w:rPr>
          <w:vertAlign w:val="baseline"/>
        </w:rPr>
        <w:t xml:space="preserve"> egregious. In order for that to happen, the bank or the </w:t>
      </w:r>
      <w:r>
        <w:rPr>
          <w:vertAlign w:val="baseline"/>
        </w:rPr>
        <w:lastRenderedPageBreak/>
        <w:t>broker has to say that this is to your advantage, and that’s not the case. It’s a factually based question. Does that actually benefit the homeowner?</w:t>
      </w:r>
    </w:p>
    <w:p w:rsidR="00821722" w:rsidRDefault="00821722" w:rsidP="00821722">
      <w:pPr>
        <w:widowControl/>
        <w:tabs>
          <w:tab w:val="left" w:pos="-1080"/>
          <w:tab w:val="left" w:pos="-720"/>
          <w:tab w:val="left" w:pos="0"/>
        </w:tabs>
        <w:rPr>
          <w:vertAlign w:val="baseline"/>
        </w:rPr>
      </w:pPr>
      <w:r>
        <w:rPr>
          <w:vertAlign w:val="baseline"/>
        </w:rPr>
        <w:t xml:space="preserve"> </w:t>
      </w:r>
    </w:p>
    <w:p w:rsidR="00821722" w:rsidRDefault="00821722" w:rsidP="00821722">
      <w:pPr>
        <w:widowControl/>
        <w:tabs>
          <w:tab w:val="left" w:pos="-1080"/>
          <w:tab w:val="left" w:pos="-720"/>
          <w:tab w:val="left" w:pos="0"/>
        </w:tabs>
        <w:rPr>
          <w:vertAlign w:val="baseline"/>
        </w:rPr>
      </w:pPr>
      <w:r>
        <w:rPr>
          <w:vertAlign w:val="baseline"/>
        </w:rPr>
        <w:t>When you get away from that sort of issue, it gets very fuzzy. These partially require jury trials to decide whether that’s unfair or deceptive.  I didn’t study it, but that’s what the people who did study it told me.  If you’re dealing with language that’s not exact, my recollection is that I heard lots of complaints that you need better guidance from Congress about what is unfair. We did get some help, but there was some reluctance from Congress. The House Financial Services Committee—or maybe it was the House Banking Committee back then—and the Senate Banking Committee did offer some guidance, and I thought that helped. I thought the Fed was complying appropriately with the intent of Congress at the time, and it’s only in retrospect that questions arose.</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I was in countless meetings on this subject, but I couldn’t pretend to have the kind of expertise on this subject that the staff had.</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NOONAN:</w:t>
      </w:r>
      <w:r>
        <w:rPr>
          <w:vertAlign w:val="baseline"/>
        </w:rPr>
        <w:t xml:space="preserve"> I understand that the Fed enacted HOEPA regulations in 2001. Was there ever a time when more information was brought to the Fed about the housing bubble which raised issues about some of these lending practices?</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GREENSPAN:</w:t>
      </w:r>
      <w:r>
        <w:rPr>
          <w:vertAlign w:val="baseline"/>
        </w:rPr>
        <w:t xml:space="preserve"> I doubt it very much. As I say in the Brookings paper, it wasn’t the subprime market </w:t>
      </w:r>
      <w:r w:rsidRPr="007634D0">
        <w:rPr>
          <w:i/>
          <w:vertAlign w:val="baseline"/>
        </w:rPr>
        <w:t>per se</w:t>
      </w:r>
      <w:r>
        <w:rPr>
          <w:vertAlign w:val="baseline"/>
        </w:rPr>
        <w:t>. It was only when the securitization market began to put very significant pressure on the issue and underwriting standards began to fall. The trigger was subprime mortgage-backed securities, not subprime mortgages.</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NOONAN:</w:t>
      </w:r>
      <w:r>
        <w:rPr>
          <w:vertAlign w:val="baseline"/>
        </w:rPr>
        <w:t xml:space="preserve"> The system underpriced the risk?</w:t>
      </w:r>
      <w:r>
        <w:rPr>
          <w:vertAlign w:val="baseline"/>
        </w:rPr>
        <w:br/>
      </w:r>
      <w:r>
        <w:rPr>
          <w:vertAlign w:val="baseline"/>
        </w:rPr>
        <w:br/>
      </w:r>
      <w:r w:rsidRPr="00CB4D8B">
        <w:rPr>
          <w:b/>
          <w:vertAlign w:val="baseline"/>
        </w:rPr>
        <w:t>GREENSPAN:</w:t>
      </w:r>
      <w:r>
        <w:rPr>
          <w:vertAlign w:val="baseline"/>
        </w:rPr>
        <w:t xml:space="preserve"> Yes, throughout the system. You determine </w:t>
      </w:r>
      <w:proofErr w:type="spellStart"/>
      <w:r>
        <w:rPr>
          <w:vertAlign w:val="baseline"/>
        </w:rPr>
        <w:t>underpricing</w:t>
      </w:r>
      <w:proofErr w:type="spellEnd"/>
      <w:r>
        <w:rPr>
          <w:vertAlign w:val="baseline"/>
        </w:rPr>
        <w:t xml:space="preserve"> by how much capital is needed to guard against tail events. Because this was underestimated, when the system breaks down you’re substituting sovereign credit for private credit. The government is giving cost-free capital at the taxpayers’ expense. That’s the statistical consequences of not having enough capital. The entire system was undercapitalized, and no one was aware of it.</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In 2006, all of the major countries met in Basel and talked about risk-based capital requirements. That system was underpriced, and it meant that all of the assets produced at a higher price than would have been the case now.</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NOONAN:</w:t>
      </w:r>
      <w:r>
        <w:rPr>
          <w:vertAlign w:val="baseline"/>
        </w:rPr>
        <w:t xml:space="preserve"> You have written that if subprime mortgages hadn’t triggered the crisis, that some other market or product would have.  Do you believe that the risk of all assets was underpriced?  The reason many have given for why subprime mortgages were underpriced was because of the historically low default rates in the U.S. real estate market?</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GREENSPAN:</w:t>
      </w:r>
      <w:r>
        <w:rPr>
          <w:vertAlign w:val="baseline"/>
        </w:rPr>
        <w:t xml:space="preserve"> I think it was universally </w:t>
      </w:r>
      <w:proofErr w:type="spellStart"/>
      <w:r>
        <w:rPr>
          <w:vertAlign w:val="baseline"/>
        </w:rPr>
        <w:t>underpricing</w:t>
      </w:r>
      <w:proofErr w:type="spellEnd"/>
      <w:r>
        <w:rPr>
          <w:vertAlign w:val="baseline"/>
        </w:rPr>
        <w:t xml:space="preserve"> risk across all asset categories. It had nothing to do with subprime mortgages. This type of pricing comes out of a sophisticated risk management system developed over the decades. From a mathematician’s point of view, it’s an </w:t>
      </w:r>
      <w:r>
        <w:rPr>
          <w:vertAlign w:val="baseline"/>
        </w:rPr>
        <w:lastRenderedPageBreak/>
        <w:t>extraordinarily elegant system. B</w:t>
      </w:r>
      <w:r w:rsidR="00F32915">
        <w:rPr>
          <w:vertAlign w:val="baseline"/>
        </w:rPr>
        <w:t>ut you have to put good data in</w:t>
      </w:r>
      <w:r>
        <w:rPr>
          <w:vertAlign w:val="baseline"/>
        </w:rPr>
        <w:t xml:space="preserve"> and if you don’t have good data, you’ll get misrepresentations.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The solution to all of the problems that we’re looking at is generically higher capital. There is no substitute for that. If Bear Stearns had been required to hold more capital, it would not have failed.</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NOONAN:</w:t>
      </w:r>
      <w:r>
        <w:rPr>
          <w:vertAlign w:val="baseline"/>
        </w:rPr>
        <w:t xml:space="preserve"> Who dictates what the capital level should be?</w:t>
      </w:r>
      <w:r>
        <w:rPr>
          <w:vertAlign w:val="baseline"/>
        </w:rPr>
        <w:br/>
      </w:r>
      <w:r>
        <w:rPr>
          <w:vertAlign w:val="baseline"/>
        </w:rPr>
        <w:br/>
      </w:r>
      <w:r w:rsidRPr="00CB4D8B">
        <w:rPr>
          <w:b/>
          <w:vertAlign w:val="baseline"/>
        </w:rPr>
        <w:t>GREENSPAN:</w:t>
      </w:r>
      <w:r>
        <w:rPr>
          <w:vertAlign w:val="baseline"/>
        </w:rPr>
        <w:t xml:space="preserve"> These are the investment banks, so it’s an SEC issue. But I don’t blame the SEC. Even in the banking system, which is heavily regulated with full-time staff in place overseeing these institutions—they were letting toxic assets in.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 xml:space="preserve">There is this view that regulators have some amazing insight, which they have in retrospect, but not at the time. Regulations which require a forecast have a woeful probability of breaking down. I think the solution is regulations that don’t require forecasting. What </w:t>
      </w:r>
      <w:proofErr w:type="gramStart"/>
      <w:r>
        <w:rPr>
          <w:vertAlign w:val="baseline"/>
        </w:rPr>
        <w:t>is</w:t>
      </w:r>
      <w:proofErr w:type="gramEnd"/>
      <w:r>
        <w:rPr>
          <w:vertAlign w:val="baseline"/>
        </w:rPr>
        <w:t xml:space="preserve"> not clear are all these things that are listed in the Brookings paper.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Every regulator around the world failed because of simple missing capital. The problem is that unless you raise capital, they’re getting an uncompensated subsidy, and it’s ultimately a taxpayer subsidy.</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NOONAN:</w:t>
      </w:r>
      <w:r>
        <w:rPr>
          <w:vertAlign w:val="baseline"/>
        </w:rPr>
        <w:t xml:space="preserve"> The Fed was intimately involved in the Basel accords, which set capital requirements, wasn’t it?</w:t>
      </w:r>
      <w:r>
        <w:rPr>
          <w:vertAlign w:val="baseline"/>
        </w:rPr>
        <w:br/>
      </w:r>
      <w:r>
        <w:rPr>
          <w:vertAlign w:val="baseline"/>
        </w:rPr>
        <w:br/>
      </w:r>
      <w:r w:rsidRPr="00CB4D8B">
        <w:rPr>
          <w:b/>
          <w:vertAlign w:val="baseline"/>
        </w:rPr>
        <w:t>GREENSPAN:</w:t>
      </w:r>
      <w:r>
        <w:rPr>
          <w:vertAlign w:val="baseline"/>
        </w:rPr>
        <w:t xml:space="preserve"> Absolutely, although we never signed off. We were as culpable as everyone else. Who was not culpable? If you wrote them down, you’d have a blank sheet of paper.</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With the exception of very minor areas—like forecasting that inventory liquidation cannot continue indefinitely—everything else is probabilistic. A forecast will always look like a bell curve. After the fact, a few people will always get it right, but they were guessing. The trick is to guess which people will get it right, but there you will fail. Whenever you get people who forecast a particular market event, you’ve never heard of them before.</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NOONAN:</w:t>
      </w:r>
      <w:r>
        <w:rPr>
          <w:vertAlign w:val="baseline"/>
        </w:rPr>
        <w:t xml:space="preserve"> Returning to the Fed’s role in consumer protection issues and the fair lending exams that the Fed would do – The Fed in 1998 adopted a formal policy that it said had been its unstated policy all along of not examining nonbank subsidiaries of bank holding companies for consumer compliance.  Why did the Fed adopt this policy?</w:t>
      </w:r>
      <w:r>
        <w:rPr>
          <w:vertAlign w:val="baseline"/>
        </w:rPr>
        <w:br/>
      </w:r>
      <w:r>
        <w:rPr>
          <w:vertAlign w:val="baseline"/>
        </w:rPr>
        <w:br/>
      </w:r>
      <w:r w:rsidRPr="00CB4D8B">
        <w:rPr>
          <w:b/>
          <w:vertAlign w:val="baseline"/>
        </w:rPr>
        <w:t>GREENSPAN:</w:t>
      </w:r>
      <w:r>
        <w:rPr>
          <w:vertAlign w:val="baseline"/>
        </w:rPr>
        <w:t xml:space="preserve"> That decision was made in conjunction with the Consumer Affairs area. I don’t even know if that would have gone to the Consumer council. There always has to be a judgment about what is and is not feasible. Merely regulating in itself is not a success.</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 xml:space="preserve">The reason is that there are lots of things that you cannot catch. What I think is that this is a problem of moral hazard—if you examine an organization incompletely, they tend to put a sign </w:t>
      </w:r>
      <w:r>
        <w:rPr>
          <w:vertAlign w:val="baseline"/>
        </w:rPr>
        <w:lastRenderedPageBreak/>
        <w:t xml:space="preserve">in their window that they were examined by the Fed. There is a limited amount of resources that the Fed has in terms of examination capability.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 xml:space="preserve">There were many meetings about how you allocate your resources. Those decisions are made largely within the divisions—Consumer Affairs and Supervision and Regulation—and then the recommendation </w:t>
      </w:r>
      <w:proofErr w:type="gramStart"/>
      <w:r>
        <w:rPr>
          <w:vertAlign w:val="baseline"/>
        </w:rPr>
        <w:t>comes</w:t>
      </w:r>
      <w:proofErr w:type="gramEnd"/>
      <w:r>
        <w:rPr>
          <w:vertAlign w:val="baseline"/>
        </w:rPr>
        <w:t xml:space="preserve"> up through the subcommittee of the Board to the Board for discussion. The staff will give its reasons for its recommendations, and the Board will decide if it’s sensible.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 xml:space="preserve">I do know that the Fed operates with </w:t>
      </w:r>
      <w:proofErr w:type="spellStart"/>
      <w:r>
        <w:rPr>
          <w:vertAlign w:val="baseline"/>
        </w:rPr>
        <w:t>unappropriated</w:t>
      </w:r>
      <w:proofErr w:type="spellEnd"/>
      <w:r>
        <w:rPr>
          <w:vertAlign w:val="baseline"/>
        </w:rPr>
        <w:t xml:space="preserve"> funds. We would always be extraordinarily cautious about our budgets. The Board would also look at the Reserve Banks—we had Consumer Affairs functions in our Reserve Banks. Where the particular consensus came from was whether it was a resource issue or a fear of partial supervision. Partial supervision is dangerous because it creates a good housekeeping stamp with negative feedback. It’s not easy to know.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I do remember that decision being made, and I voted for it because I found the arguments rational and they made sense. This is a reason why the Board is getting an unfair rap on this stuff. We didn’t forecast better than anyone else; we regulated banks that got in trouble like anyone else. Could we have done better? Yes, if we could forecast better. But we can’t. This is why I’m very uncomfortable with the idea of a systemic regulator, because they can’t forecast better.</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NOONAN:</w:t>
      </w:r>
      <w:r>
        <w:rPr>
          <w:vertAlign w:val="baseline"/>
        </w:rPr>
        <w:t xml:space="preserve"> The recent decisions by the Fed to promulgate HOEPA regulations against unfair and deceptive lending and to reinstate examination of nonbank subsidiaries for consumer compliance – Are they the right call?</w:t>
      </w:r>
      <w:r>
        <w:rPr>
          <w:vertAlign w:val="baseline"/>
        </w:rPr>
        <w:br/>
      </w:r>
      <w:r>
        <w:rPr>
          <w:vertAlign w:val="baseline"/>
        </w:rPr>
        <w:br/>
      </w:r>
      <w:r w:rsidRPr="00CB4D8B">
        <w:rPr>
          <w:b/>
          <w:vertAlign w:val="baseline"/>
        </w:rPr>
        <w:t>GREENSPAN:</w:t>
      </w:r>
      <w:r>
        <w:rPr>
          <w:vertAlign w:val="baseline"/>
        </w:rPr>
        <w:t xml:space="preserve"> I suspect so. There are a lot of calls that are made that are 60-40. They are based on judgments that we know might not be correct. I know the way that the system works, and I would be very surprised if I came to a different conclusion. If you get to a consensus of a large group of people—it’s not that they get it right, but they’ve covered all of the issues.</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NOONAN:</w:t>
      </w:r>
      <w:r>
        <w:rPr>
          <w:vertAlign w:val="baseline"/>
        </w:rPr>
        <w:t xml:space="preserve"> Substantively, do you think this is the right call to target abusive lending practices?</w:t>
      </w:r>
      <w:r>
        <w:rPr>
          <w:vertAlign w:val="baseline"/>
        </w:rPr>
        <w:br/>
      </w:r>
      <w:r>
        <w:rPr>
          <w:vertAlign w:val="baseline"/>
        </w:rPr>
        <w:br/>
      </w:r>
      <w:r w:rsidRPr="00CB4D8B">
        <w:rPr>
          <w:b/>
          <w:vertAlign w:val="baseline"/>
        </w:rPr>
        <w:t>GREENSPAN:</w:t>
      </w:r>
      <w:r>
        <w:rPr>
          <w:vertAlign w:val="baseline"/>
        </w:rPr>
        <w:t xml:space="preserve"> It seems reasonable, but I did not sit in on the meetings and I have not seen the details. I’m giving you my impressions.</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BROOKS:</w:t>
      </w:r>
      <w:r>
        <w:rPr>
          <w:vertAlign w:val="baseline"/>
        </w:rPr>
        <w:t xml:space="preserve"> You’re talking about abusive practices. Can you give us more details about what specifically you’re thinking about?</w:t>
      </w:r>
      <w:r>
        <w:rPr>
          <w:vertAlign w:val="baseline"/>
        </w:rPr>
        <w:br/>
      </w:r>
      <w:r>
        <w:rPr>
          <w:vertAlign w:val="baseline"/>
        </w:rPr>
        <w:br/>
      </w:r>
      <w:r w:rsidRPr="00CB4D8B">
        <w:rPr>
          <w:b/>
          <w:vertAlign w:val="baseline"/>
        </w:rPr>
        <w:t>NOONAN:</w:t>
      </w:r>
      <w:r>
        <w:rPr>
          <w:vertAlign w:val="baseline"/>
        </w:rPr>
        <w:t xml:space="preserve"> The July 2008 regulations apply to all higher-priced mortgages, as defined. I ask to get a sense whether this would have been a good idea going back in time.</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BROOKS:</w:t>
      </w:r>
      <w:r>
        <w:rPr>
          <w:vertAlign w:val="baseline"/>
        </w:rPr>
        <w:t xml:space="preserve"> The interest-rate spread isn’t an abusive practice.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NOONAN:</w:t>
      </w:r>
      <w:r>
        <w:rPr>
          <w:vertAlign w:val="baseline"/>
        </w:rPr>
        <w:t xml:space="preserve"> If it is a higher-priced mortgage, there are four things that the regulation prohibits. That’s what I’m referring to.</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FELDBERG:</w:t>
      </w:r>
      <w:r>
        <w:rPr>
          <w:vertAlign w:val="baseline"/>
        </w:rPr>
        <w:t xml:space="preserve"> I think that at the hearing they’ll be interested in the unfair and abusive practices as well as the underwriting standards.</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GREENSPAN:</w:t>
      </w:r>
      <w:r>
        <w:rPr>
          <w:vertAlign w:val="baseline"/>
        </w:rPr>
        <w:t xml:space="preserve"> We don’t even have a subprime market, and if it comes back, it will come back in a different structure. There are so many ways to fleece the public. If you apply the 2008 criteria to a wholly new market, you want to make sure that you’re making the regulations consistent with what has emerged.</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FELDBERG:</w:t>
      </w:r>
      <w:r>
        <w:rPr>
          <w:vertAlign w:val="baseline"/>
        </w:rPr>
        <w:t xml:space="preserve"> The Commission’s charge is backward looking. What policies could have been in place to prevent what happened?</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GREENSPAN:</w:t>
      </w:r>
      <w:r>
        <w:rPr>
          <w:vertAlign w:val="baseline"/>
        </w:rPr>
        <w:t xml:space="preserve"> I was at the Fed for eighteen and a half years. I don’t have access to the detail or scope of the Fed now, but I’ll try to put together whatever I can. If not before the hearing, I certainly will try to do it after the fact in written answers.</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NOONAN:</w:t>
      </w:r>
      <w:r>
        <w:rPr>
          <w:vertAlign w:val="baseline"/>
        </w:rPr>
        <w:t xml:space="preserve"> When banks make applications to the Fed for mergers or acquisitions, one requirement is CRA compliance. What did the Fed consider in this respect, specifically with respect to commitments?</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GREENSPAN:</w:t>
      </w:r>
      <w:r>
        <w:rPr>
          <w:vertAlign w:val="baseline"/>
        </w:rPr>
        <w:t xml:space="preserve"> This was idiosyncratic of the individual firm. The Consumer Affairs examines consumer compliance for all firms. When an acquisition comes before the Board, we would look at previous examinations, and oftentimes standards had not been met, so the requirements of the merger would be to meet the standards going forward.</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NOONAN:</w:t>
      </w:r>
      <w:r>
        <w:rPr>
          <w:vertAlign w:val="baseline"/>
        </w:rPr>
        <w:t xml:space="preserve"> Shifting gears from the consumer and community affairs. What was the Fed’s role in supervising the safety and soundness of institutions engaged in subprime mortgage lending?</w:t>
      </w:r>
      <w:r>
        <w:rPr>
          <w:vertAlign w:val="baseline"/>
        </w:rPr>
        <w:br/>
      </w:r>
      <w:r>
        <w:rPr>
          <w:vertAlign w:val="baseline"/>
        </w:rPr>
        <w:br/>
      </w:r>
      <w:r w:rsidRPr="00CB4D8B">
        <w:rPr>
          <w:b/>
          <w:vertAlign w:val="baseline"/>
        </w:rPr>
        <w:t>GREENSPAN:</w:t>
      </w:r>
      <w:r>
        <w:rPr>
          <w:vertAlign w:val="baseline"/>
        </w:rPr>
        <w:t xml:space="preserve"> You have to distinguish between pre- and post-securitization. After securitization, the data goes straight up. In the early years, the issue was not systemic problems. It was prudential examinations for safety and soundness because home prices were moving up and foreclosures were moving down, and the banks were in reasonably good shape. At that point 70% of subprime mortgages were fixed-rate—this is in 2000-2001.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 xml:space="preserve">The importance of that is that the real problems in subprime started with adjustable rate mortgages. It should give you some notion of the nature of the changes. The rate of increase in adjustable rate mortgages is like a “hockey-stick curve” because they are increasing slowly and all of a sudden jump way up. The egregious lending practices emerged with adjustable rate mortgages. The fixed rate did not seem to be a problem. People had lower down payments, foreclosures were going down, </w:t>
      </w:r>
      <w:proofErr w:type="gramStart"/>
      <w:r>
        <w:rPr>
          <w:vertAlign w:val="baseline"/>
        </w:rPr>
        <w:t>so</w:t>
      </w:r>
      <w:proofErr w:type="gramEnd"/>
      <w:r>
        <w:rPr>
          <w:vertAlign w:val="baseline"/>
        </w:rPr>
        <w:t xml:space="preserve"> there was no stress in the market.</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 xml:space="preserve">Things changed with securitization after 2004, but I don’t know about a safety and soundness problems. Prices were going up, no one was folding, and there were very low foreclosures and delinquencies. From a prudential point of view, they were in very good shape. Examiners basically looked at the quality of the loan performance and portfolio.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lastRenderedPageBreak/>
        <w:t xml:space="preserve">For very large institutions, the Comptroller of the Currency can no longer go in and look at the documents themselves. The banks were getting too large to do the types of examinations that were standard fifty years ago. This is why I always argued that the first line of defense is counterparty surveillance. If that fails, the ability of bank examiners to do their job is in trouble.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I know in general how all of that is done. As banks got more and more complex, I got more and more nervous. It’s difficult to know what’s going on. That’s why I’m such a strong advocate for capital. There are losses, but the losses accrue solely to the shareholders, and it makes them more conscious of the types of risks that the institutions were taking.</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 xml:space="preserve">Something had to happen in the change to securitization. I wasn’t aware of it at the time. The optimum number of bank failures yearly is not zero. </w:t>
      </w:r>
      <w:proofErr w:type="gramStart"/>
      <w:r>
        <w:rPr>
          <w:vertAlign w:val="baseline"/>
        </w:rPr>
        <w:t>Unless there are competitive pressures….</w:t>
      </w:r>
      <w:proofErr w:type="gramEnd"/>
      <w:r>
        <w:rPr>
          <w:vertAlign w:val="baseline"/>
        </w:rPr>
        <w:t xml:space="preserve"> Not all banks should succeed, if they do, then they’re being subsidized somehow.</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 xml:space="preserve">The data show that the markets had generally been securitizing 50% or less of the securitizations. Looking at the stock of subprime mortgages, 50% or less were held as collateral in escrow for </w:t>
      </w:r>
      <w:proofErr w:type="spellStart"/>
      <w:r>
        <w:rPr>
          <w:vertAlign w:val="baseline"/>
        </w:rPr>
        <w:t>securitizers</w:t>
      </w:r>
      <w:proofErr w:type="spellEnd"/>
      <w:r>
        <w:rPr>
          <w:vertAlign w:val="baseline"/>
        </w:rPr>
        <w:t xml:space="preserve">. It was fairly stable.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proofErr w:type="gramStart"/>
      <w:r>
        <w:rPr>
          <w:vertAlign w:val="baseline"/>
        </w:rPr>
        <w:t>Starting in the mid-year of 2003, looking at the quarterly data, that all of the sudden begins to take off.</w:t>
      </w:r>
      <w:proofErr w:type="gramEnd"/>
      <w:r>
        <w:rPr>
          <w:vertAlign w:val="baseline"/>
        </w:rPr>
        <w:t xml:space="preserve"> It’s clear that at that time, something significant was happening. In the early stages, securitizations were good. It takes the originations in highly leveraged institutions—banks—and puts them in the market where the buyers had higher levels of equity. That was true in 2004, but not later on.</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NOONAN:</w:t>
      </w:r>
      <w:r>
        <w:rPr>
          <w:vertAlign w:val="baseline"/>
        </w:rPr>
        <w:t xml:space="preserve"> What role did the GSEs play in the securitization story?</w:t>
      </w:r>
      <w:r>
        <w:rPr>
          <w:vertAlign w:val="baseline"/>
        </w:rPr>
        <w:br/>
      </w:r>
      <w:r>
        <w:rPr>
          <w:vertAlign w:val="baseline"/>
        </w:rPr>
        <w:br/>
      </w:r>
      <w:r w:rsidRPr="00CB4D8B">
        <w:rPr>
          <w:b/>
          <w:vertAlign w:val="baseline"/>
        </w:rPr>
        <w:t>GREENSPAN:</w:t>
      </w:r>
      <w:r>
        <w:rPr>
          <w:vertAlign w:val="baseline"/>
        </w:rPr>
        <w:t xml:space="preserve"> They’d create the securitizations from private-label mortgages. At that time they were losing market share. Fannie and Freddie were significant purchasers of private-label securities. I don’t have any data on them buying mortgages and securitizing them. Their public reporting is more opaque than any in the private domain that I’ve seen.</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NOONAN:</w:t>
      </w:r>
      <w:r>
        <w:rPr>
          <w:vertAlign w:val="baseline"/>
        </w:rPr>
        <w:t xml:space="preserve"> Did they drive subprime securitization?</w:t>
      </w:r>
      <w:r>
        <w:rPr>
          <w:vertAlign w:val="baseline"/>
        </w:rPr>
        <w:br/>
      </w:r>
      <w:r>
        <w:rPr>
          <w:vertAlign w:val="baseline"/>
        </w:rPr>
        <w:br/>
      </w:r>
      <w:r w:rsidRPr="00CB4D8B">
        <w:rPr>
          <w:b/>
          <w:vertAlign w:val="baseline"/>
        </w:rPr>
        <w:t>GREENSPAN:</w:t>
      </w:r>
      <w:r>
        <w:rPr>
          <w:vertAlign w:val="baseline"/>
        </w:rPr>
        <w:t xml:space="preserve"> From a demand side, they were a very important and critical force.</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NOONAN:</w:t>
      </w:r>
      <w:r>
        <w:rPr>
          <w:vertAlign w:val="baseline"/>
        </w:rPr>
        <w:t xml:space="preserve"> Did derivatives like credit default swaps and synthetic CDOs exacerbate the size and impact of the crisis?</w:t>
      </w:r>
      <w:r>
        <w:rPr>
          <w:vertAlign w:val="baseline"/>
        </w:rPr>
        <w:br/>
      </w:r>
      <w:r>
        <w:rPr>
          <w:vertAlign w:val="baseline"/>
        </w:rPr>
        <w:br/>
      </w:r>
      <w:r w:rsidRPr="00CB4D8B">
        <w:rPr>
          <w:b/>
          <w:vertAlign w:val="baseline"/>
        </w:rPr>
        <w:t>GREENSPAN:</w:t>
      </w:r>
      <w:r>
        <w:rPr>
          <w:vertAlign w:val="baseline"/>
        </w:rPr>
        <w:t xml:space="preserve"> In part, yes. They were relatively new. The big </w:t>
      </w:r>
      <w:proofErr w:type="gramStart"/>
      <w:r>
        <w:rPr>
          <w:vertAlign w:val="baseline"/>
        </w:rPr>
        <w:t>part of derivatives are</w:t>
      </w:r>
      <w:proofErr w:type="gramEnd"/>
      <w:r>
        <w:rPr>
          <w:vertAlign w:val="baseline"/>
        </w:rPr>
        <w:t xml:space="preserve"> not credit default swaps.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 xml:space="preserve">CDS in their early years were very valuable. But they are fundamentally different instruments than interest rate derivatives, because they insure principal. What happened to CDS was that the demand became so great that by 2005 the FRBNY became concerned about the problems. At that time, I felt uncomfortable about this 21st century vehicle being transacted with 19th century technologies like a pen and paper.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The FRBNY has cleaned up a lot of problems. There’s no question in my mind that there were practices involved in employing CDS that didn’t help things. But there are many things that CDS are accused of that they didn’t do.</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NOONAN:</w:t>
      </w:r>
      <w:r>
        <w:rPr>
          <w:vertAlign w:val="baseline"/>
        </w:rPr>
        <w:t xml:space="preserve"> You recommend increases in collateral requirements for financial products in your paper.  Would significant increases in collateral requirements for derivatives have lessened the impact of the crisis?  </w:t>
      </w:r>
      <w:r>
        <w:rPr>
          <w:vertAlign w:val="baseline"/>
        </w:rPr>
        <w:br/>
      </w:r>
      <w:r>
        <w:rPr>
          <w:vertAlign w:val="baseline"/>
        </w:rPr>
        <w:br/>
      </w:r>
      <w:r w:rsidRPr="00CB4D8B">
        <w:rPr>
          <w:b/>
          <w:vertAlign w:val="baseline"/>
        </w:rPr>
        <w:t>GREENSPAN:</w:t>
      </w:r>
      <w:r>
        <w:rPr>
          <w:vertAlign w:val="baseline"/>
        </w:rPr>
        <w:t xml:space="preserve"> That’s a very interesting question.  That’s one part of my Brookings paper that I have to complete, and I haven’t finished thinking through this issue. I don’t know yet. I’m required to finalize my Brookings paper and I have to say what I mean about collateral. I’ll come up with something. I have to go through a sequence of analysis.</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FELDBERG:</w:t>
      </w:r>
      <w:r>
        <w:rPr>
          <w:vertAlign w:val="baseline"/>
        </w:rPr>
        <w:t xml:space="preserve"> One of the aspects of credit derivatives market is the concentration of counterparty exposure. What’s the solution?</w:t>
      </w:r>
      <w:r>
        <w:rPr>
          <w:vertAlign w:val="baseline"/>
        </w:rPr>
        <w:br/>
      </w:r>
      <w:r>
        <w:rPr>
          <w:vertAlign w:val="baseline"/>
        </w:rPr>
        <w:br/>
      </w:r>
      <w:r w:rsidRPr="00CB4D8B">
        <w:rPr>
          <w:b/>
          <w:vertAlign w:val="baseline"/>
        </w:rPr>
        <w:t>GREENSPAN:</w:t>
      </w:r>
      <w:r>
        <w:rPr>
          <w:vertAlign w:val="baseline"/>
        </w:rPr>
        <w:t xml:space="preserve"> I don’t know. AIG, for instance, was an extraordinarily well-run operation for decades that sold insurance. You can sell insurance as a contract or a CDS. One of the things that CDS gets a bad rap for is that to be sure, AIG was selling protection through CDS, and the risks that they took were enormous, but they could have done the same thing through insurance contracts. You can’t blame the instrument in this case. To say that CDS are the cause of AIG is wrong. If they couldn’t have had CDS, they would have had the insurance contracts instead.</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DZIVI:</w:t>
      </w:r>
      <w:r>
        <w:rPr>
          <w:vertAlign w:val="baseline"/>
        </w:rPr>
        <w:t xml:space="preserve"> They didn’t have to have capital reserves against CDS, but you do have to have capital to set aside against insurance contracts.</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GREENSPAN:</w:t>
      </w:r>
      <w:r>
        <w:rPr>
          <w:vertAlign w:val="baseline"/>
        </w:rPr>
        <w:t xml:space="preserve"> That answers my question.</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NOONAN:</w:t>
      </w:r>
      <w:r>
        <w:rPr>
          <w:vertAlign w:val="baseline"/>
        </w:rPr>
        <w:t xml:space="preserve"> Insurance regulations also require the buyer to actually have an interest in the exposure being protected against, but this rule doesn’t apply to financial derivatives, including credit default swaps.  What role do you think naked CDS played in the crisis?</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GREENSPAN:</w:t>
      </w:r>
      <w:r>
        <w:rPr>
          <w:vertAlign w:val="baseline"/>
        </w:rPr>
        <w:t xml:space="preserve"> There’s a question here that naked shorts are—in and of themselves—that issue is not clear. I’m not sure that you can apply that to commodities, stocks, etc. I’m conflicted by that.</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FELDBERG:</w:t>
      </w:r>
      <w:r>
        <w:rPr>
          <w:vertAlign w:val="baseline"/>
        </w:rPr>
        <w:t xml:space="preserve"> Was there regulatory capital arbitrage?</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GREENSPAN:</w:t>
      </w:r>
      <w:r>
        <w:rPr>
          <w:vertAlign w:val="baseline"/>
        </w:rPr>
        <w:t xml:space="preserve"> I suspect that’s what happened. As I say in my Brookings paper, what regulators can prohibit is regulatory arbitrage.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That’s not a good thing. If regulation is going to work, you can’t simultaneously have regulatory arbitrage.</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lastRenderedPageBreak/>
        <w:t>FELDBERG:</w:t>
      </w:r>
      <w:r>
        <w:rPr>
          <w:vertAlign w:val="baseline"/>
        </w:rPr>
        <w:t xml:space="preserve"> To what extent was off-balance sheet securitization involved in regulatory arbitrage?</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GREENSPAN:</w:t>
      </w:r>
      <w:r>
        <w:rPr>
          <w:vertAlign w:val="baseline"/>
        </w:rPr>
        <w:t xml:space="preserve"> I have no way of knowing. I can assume that happened to some degree.</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FELDBERG:</w:t>
      </w:r>
      <w:r>
        <w:rPr>
          <w:vertAlign w:val="baseline"/>
        </w:rPr>
        <w:t xml:space="preserve"> Does it hide the amount of leverage?</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GREENSPAN:</w:t>
      </w:r>
      <w:r>
        <w:rPr>
          <w:vertAlign w:val="baseline"/>
        </w:rPr>
        <w:t xml:space="preserve"> No, it doesn’t hide leverage. What drives this whole process is euphoria. In human nature, risk aversion declines dramatically and there’s a demand for risk-based products that can turn on a dime. People didn’t mind buying products that could be extremely risky to them. Euphoria is a human trait. If you get a protracted period of economic stability where markets are functioning well, you let your guard down. It’s a normal rational human process with terrible consequences.</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FELDBERG:</w:t>
      </w:r>
      <w:r>
        <w:rPr>
          <w:vertAlign w:val="baseline"/>
        </w:rPr>
        <w:t xml:space="preserve"> The senior supervisors group examined some of the companies that did and did not lose a lot of money in the crisis and identified risk management practices that the good firms had. What could regulators have done to identify these in advance?</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GREENSPAN:</w:t>
      </w:r>
      <w:r>
        <w:rPr>
          <w:vertAlign w:val="baseline"/>
        </w:rPr>
        <w:t xml:space="preserve"> It’s based less on regulators and more on the individual culture of the institution. It’s not there is more or less regulation, but that the risk management at some firms is more sophisticated. With risk management, you start off with the premise of what your tolerance is for risk?</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 xml:space="preserve">If you are a partnership—like Goldman Sachs, Bear Stearns, or Lehman Brothers before 1970—my recollection was that they were scared and would not lend you a dime overnight unless you were highly secured. We never had investment banks go under because the incentives structure was different.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If we could get back to the type of views that existed—we can’t go back, because the complexity of the system is such that it can’t function with partnerships—but if we go back to the culture, it’s not an accident that JPMorgan did better than Citigroup.</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BROOKS:</w:t>
      </w:r>
      <w:r>
        <w:rPr>
          <w:vertAlign w:val="baseline"/>
        </w:rPr>
        <w:t xml:space="preserve"> We promised not to disappear after 60 minutes, but are there other issues you need to address today?  </w:t>
      </w:r>
      <w:r>
        <w:rPr>
          <w:vertAlign w:val="baseline"/>
        </w:rPr>
        <w:br/>
      </w:r>
      <w:r>
        <w:rPr>
          <w:vertAlign w:val="baseline"/>
        </w:rPr>
        <w:br/>
      </w:r>
      <w:r w:rsidRPr="00CB4D8B">
        <w:rPr>
          <w:b/>
          <w:vertAlign w:val="baseline"/>
        </w:rPr>
        <w:t>DZIVI:</w:t>
      </w:r>
      <w:r>
        <w:rPr>
          <w:vertAlign w:val="baseline"/>
        </w:rPr>
        <w:t xml:space="preserve"> This is a peer review report from the FRBNY bank supervision group. Would this have come to you?</w:t>
      </w:r>
      <w:r>
        <w:rPr>
          <w:vertAlign w:val="baseline"/>
        </w:rPr>
        <w:br/>
      </w:r>
      <w:r>
        <w:rPr>
          <w:vertAlign w:val="baseline"/>
        </w:rPr>
        <w:br/>
      </w:r>
      <w:r w:rsidRPr="00CB4D8B">
        <w:rPr>
          <w:b/>
          <w:vertAlign w:val="baseline"/>
        </w:rPr>
        <w:t>GREENSPAN:</w:t>
      </w:r>
      <w:r>
        <w:rPr>
          <w:vertAlign w:val="baseline"/>
        </w:rPr>
        <w:t xml:space="preserve"> No, I’ve never seen this before.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b/>
          <w:vertAlign w:val="baseline"/>
        </w:rPr>
        <w:t>CULVAHOUSE:</w:t>
      </w:r>
      <w:r>
        <w:rPr>
          <w:vertAlign w:val="baseline"/>
        </w:rPr>
        <w:t xml:space="preserve"> Can we keep this?</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DZIVI:</w:t>
      </w:r>
      <w:r>
        <w:rPr>
          <w:vertAlign w:val="baseline"/>
        </w:rPr>
        <w:t xml:space="preserve"> Yes subject to confidential treatment. On Page 28 it refers to the supervision of LCBOs, Large Complex Banking Organizations.  It states in part: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ind w:left="720"/>
        <w:rPr>
          <w:vertAlign w:val="baseline"/>
        </w:rPr>
      </w:pPr>
      <w:r>
        <w:rPr>
          <w:vertAlign w:val="baseline"/>
        </w:rPr>
        <w:lastRenderedPageBreak/>
        <w:t xml:space="preserve">The level of staff allocated to corporate compliance supervision needs to be expanded in view of the increased regulatory attention to compliance issues and to governance gaps that pose legal and reputational risk exposure to LCBOs supervised by the Second District. </w:t>
      </w:r>
      <w:r>
        <w:rPr>
          <w:vertAlign w:val="baseline"/>
        </w:rPr>
        <w:br/>
      </w:r>
    </w:p>
    <w:p w:rsidR="00821722" w:rsidRDefault="00821722" w:rsidP="00821722">
      <w:pPr>
        <w:widowControl/>
        <w:tabs>
          <w:tab w:val="left" w:pos="-1080"/>
          <w:tab w:val="left" w:pos="-720"/>
          <w:tab w:val="left" w:pos="0"/>
        </w:tabs>
        <w:rPr>
          <w:vertAlign w:val="baseline"/>
        </w:rPr>
      </w:pPr>
      <w:r>
        <w:rPr>
          <w:vertAlign w:val="baseline"/>
        </w:rPr>
        <w:t xml:space="preserve">I’ve looked at the work papers behind this and this refers to Citigroup. The </w:t>
      </w:r>
      <w:proofErr w:type="spellStart"/>
      <w:r>
        <w:rPr>
          <w:vertAlign w:val="baseline"/>
        </w:rPr>
        <w:t>Citi</w:t>
      </w:r>
      <w:proofErr w:type="spellEnd"/>
      <w:r>
        <w:rPr>
          <w:vertAlign w:val="baseline"/>
        </w:rPr>
        <w:t xml:space="preserve"> team did not have enough resources allocated to it. Did it ever bubble up to you that the </w:t>
      </w:r>
      <w:proofErr w:type="spellStart"/>
      <w:r>
        <w:rPr>
          <w:vertAlign w:val="baseline"/>
        </w:rPr>
        <w:t>NYFed</w:t>
      </w:r>
      <w:proofErr w:type="spellEnd"/>
      <w:r>
        <w:rPr>
          <w:vertAlign w:val="baseline"/>
        </w:rPr>
        <w:t xml:space="preserve"> did not have adequate resources?</w:t>
      </w:r>
      <w:r>
        <w:rPr>
          <w:vertAlign w:val="baseline"/>
        </w:rPr>
        <w:br/>
      </w:r>
      <w:r>
        <w:rPr>
          <w:vertAlign w:val="baseline"/>
        </w:rPr>
        <w:br/>
      </w:r>
      <w:r w:rsidRPr="00CB4D8B">
        <w:rPr>
          <w:b/>
          <w:vertAlign w:val="baseline"/>
        </w:rPr>
        <w:t>GREENSPAN:</w:t>
      </w:r>
      <w:r>
        <w:rPr>
          <w:vertAlign w:val="baseline"/>
        </w:rPr>
        <w:t xml:space="preserve"> I’ve never heard of that. I do know that they—</w:t>
      </w:r>
      <w:proofErr w:type="spellStart"/>
      <w:r>
        <w:rPr>
          <w:vertAlign w:val="baseline"/>
        </w:rPr>
        <w:t>Spillenkothen</w:t>
      </w:r>
      <w:proofErr w:type="spellEnd"/>
      <w:r>
        <w:rPr>
          <w:vertAlign w:val="baseline"/>
        </w:rPr>
        <w:t xml:space="preserve">—allocate their resources to various different things that I never saw. I’ve never been involved in any of that. It’s a judgmental question of what resources were required. My recollection is that when any of that surfaced to the Board, it was met with funds.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 xml:space="preserve">We took very seriously the monitoring of the spending of the whole system. Because you’re not dealing with appropriated funds, it’s very obscure how our actions deal with the federal budget. We are dealing with taxpayer funds without supervision, and we took that very seriously. </w:t>
      </w:r>
      <w:proofErr w:type="gramStart"/>
      <w:r>
        <w:rPr>
          <w:vertAlign w:val="baseline"/>
        </w:rPr>
        <w:t>Having said that, when issues arose where the use of taxpayers’ funds to deal with that was in line with the needs of Congress, we would address that.</w:t>
      </w:r>
      <w:proofErr w:type="gramEnd"/>
      <w:r>
        <w:rPr>
          <w:vertAlign w:val="baseline"/>
        </w:rPr>
        <w:t xml:space="preserve"> A contentious issue was the building of new buildings. But I don’t remember any request for money for supervision that was not met.</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DZIVI:</w:t>
      </w:r>
      <w:r>
        <w:rPr>
          <w:vertAlign w:val="baseline"/>
        </w:rPr>
        <w:t xml:space="preserve"> Next I would like to draw your attention to some minutes of a Board of Governors meeting that occurred on September 30, 2002. </w:t>
      </w:r>
      <w:proofErr w:type="gramStart"/>
      <w:r>
        <w:rPr>
          <w:vertAlign w:val="baseline"/>
        </w:rPr>
        <w:t>Page 3.</w:t>
      </w:r>
      <w:proofErr w:type="gramEnd"/>
      <w:r>
        <w:rPr>
          <w:vertAlign w:val="baseline"/>
        </w:rPr>
        <w:t xml:space="preserve"> </w:t>
      </w:r>
      <w:proofErr w:type="gramStart"/>
      <w:r>
        <w:rPr>
          <w:vertAlign w:val="baseline"/>
        </w:rPr>
        <w:t>Aftermath of Enron.</w:t>
      </w:r>
      <w:proofErr w:type="gramEnd"/>
      <w:r>
        <w:rPr>
          <w:vertAlign w:val="baseline"/>
        </w:rPr>
        <w:t xml:space="preserve"> The second paragraph recites your observations. I’m interested in the statement that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ab/>
        <w:t>“</w:t>
      </w:r>
      <w:proofErr w:type="gramStart"/>
      <w:r>
        <w:rPr>
          <w:vertAlign w:val="baseline"/>
        </w:rPr>
        <w:t>the</w:t>
      </w:r>
      <w:proofErr w:type="gramEnd"/>
      <w:r>
        <w:rPr>
          <w:vertAlign w:val="baseline"/>
        </w:rPr>
        <w:t xml:space="preserve"> information presented did not reveal wrongdoing by Citigroup”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GREENSPAN:</w:t>
      </w:r>
      <w:r>
        <w:rPr>
          <w:vertAlign w:val="baseline"/>
        </w:rPr>
        <w:t xml:space="preserve"> I’ve see</w:t>
      </w:r>
      <w:r w:rsidR="00F32915">
        <w:rPr>
          <w:vertAlign w:val="baseline"/>
        </w:rPr>
        <w:t>n</w:t>
      </w:r>
      <w:r>
        <w:rPr>
          <w:vertAlign w:val="baseline"/>
        </w:rPr>
        <w:t xml:space="preserve"> documents like this.</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If it’s in the minutes, these are scrupulously done, and I must have said it. If I said it, I must have had reasons, but I don’t remember what those are. I was very careful in what I said, because although I only had one vote like everyone else, I was aware that what the Chairman says carries extra weight. I would not have said that without having hard evidence to back it up</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DZIVI:</w:t>
      </w:r>
      <w:r>
        <w:rPr>
          <w:vertAlign w:val="baseline"/>
        </w:rPr>
        <w:t xml:space="preserve"> The next set of minutes I’d like to draw your attention to is dated October 28, 2002. This involved the approval of the Cal Fed acquisition by Citigroup. </w:t>
      </w:r>
      <w:proofErr w:type="gramStart"/>
      <w:r>
        <w:rPr>
          <w:vertAlign w:val="baseline"/>
        </w:rPr>
        <w:t>Page 3, second full paragraph.</w:t>
      </w:r>
      <w:proofErr w:type="gramEnd"/>
      <w:r>
        <w:rPr>
          <w:vertAlign w:val="baseline"/>
        </w:rPr>
        <w:t xml:space="preserve">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ind w:left="720"/>
        <w:rPr>
          <w:vertAlign w:val="baseline"/>
        </w:rPr>
      </w:pPr>
      <w:r>
        <w:rPr>
          <w:vertAlign w:val="baseline"/>
        </w:rPr>
        <w:t>“Chairman Greenspan observed the potential compliance issues in this proposal required the Boar</w:t>
      </w:r>
      <w:r w:rsidR="00F32915">
        <w:rPr>
          <w:vertAlign w:val="baseline"/>
        </w:rPr>
        <w:t>d t</w:t>
      </w:r>
      <w:r>
        <w:rPr>
          <w:vertAlign w:val="baseline"/>
        </w:rPr>
        <w:t>o make realistic judgments in balancing responsibilities to the economy and the regulation of financial institutions.”</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At this period in time, CitiFinancial is undergoing a compliance review with board examiners that results in a $70 million fine. Can you tell me what you meant by your statement of “balancing its responsibilities related to the economy and the regulation of financial institutions”?</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lastRenderedPageBreak/>
        <w:t>GREENSPAN:</w:t>
      </w:r>
      <w:r>
        <w:rPr>
          <w:vertAlign w:val="baseline"/>
        </w:rPr>
        <w:t xml:space="preserve"> The board has dual roles. On the one hand, we run monetary policy and are responsible for what is going on in the economy. We are acutely aware that regulation is not irrelevant to what is going on in the economy. How do you trade off the regulation of financial institutions and the monetary policies that affect them?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I don’t remember the considerations of this case specifically, but that’s in general. You can’t view regulation of a central bank independently of its mission to provide liquidity.</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DZIVI:</w:t>
      </w:r>
      <w:r>
        <w:rPr>
          <w:vertAlign w:val="baseline"/>
        </w:rPr>
        <w:t xml:space="preserve"> On a quarterly basis, how often did you have meeting with </w:t>
      </w:r>
      <w:proofErr w:type="spellStart"/>
      <w:r>
        <w:rPr>
          <w:vertAlign w:val="baseline"/>
        </w:rPr>
        <w:t>Spillenkothen</w:t>
      </w:r>
      <w:proofErr w:type="spellEnd"/>
      <w:r>
        <w:rPr>
          <w:vertAlign w:val="baseline"/>
        </w:rPr>
        <w:t xml:space="preserve"> about bank supervision?</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GREENSPAN:</w:t>
      </w:r>
      <w:r>
        <w:rPr>
          <w:vertAlign w:val="baseline"/>
        </w:rPr>
        <w:t xml:space="preserve"> Unless an issue is brought directly to the board, we wouldn’t discuss that. We did talk about the $70 million fine.</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DZIVI:</w:t>
      </w:r>
      <w:r>
        <w:rPr>
          <w:vertAlign w:val="baseline"/>
        </w:rPr>
        <w:t xml:space="preserve"> The next set of minutes I’d like you to look at are dated March 16, 2005.These involve the approval of Citigroup’s acquisition of a small bank in Texas.  On page two it states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ind w:left="720"/>
        <w:rPr>
          <w:vertAlign w:val="baseline"/>
        </w:rPr>
      </w:pPr>
      <w:r>
        <w:rPr>
          <w:vertAlign w:val="baseline"/>
        </w:rPr>
        <w:t xml:space="preserve">“The order would convey that.” </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In the three years up to this order, Citigroup and Citibank had compliance and public relations problems, and the Board of Governors put a growth moratorium.  What do you recall about that?</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GREENSPAN:</w:t>
      </w:r>
      <w:r>
        <w:rPr>
          <w:vertAlign w:val="baseline"/>
        </w:rPr>
        <w:t xml:space="preserve"> The Board was dissatisfied with the compliance of Citigroup. It was the judgment of the Board that until they resolve these issues, the moratorium would stick.</w:t>
      </w:r>
      <w:r>
        <w:rPr>
          <w:vertAlign w:val="baseline"/>
        </w:rPr>
        <w:br/>
      </w:r>
      <w:r>
        <w:rPr>
          <w:vertAlign w:val="baseline"/>
        </w:rPr>
        <w:br/>
      </w:r>
      <w:r w:rsidRPr="00CB4D8B">
        <w:rPr>
          <w:b/>
          <w:vertAlign w:val="baseline"/>
        </w:rPr>
        <w:t>DZIVI:</w:t>
      </w:r>
      <w:r>
        <w:rPr>
          <w:vertAlign w:val="baseline"/>
        </w:rPr>
        <w:t xml:space="preserve"> When it was lifted in 2006, what was the Board’s view?</w:t>
      </w:r>
      <w:r>
        <w:rPr>
          <w:vertAlign w:val="baseline"/>
        </w:rPr>
        <w:br/>
      </w:r>
      <w:r>
        <w:rPr>
          <w:vertAlign w:val="baseline"/>
        </w:rPr>
        <w:br/>
      </w:r>
      <w:r w:rsidRPr="00CB4D8B">
        <w:rPr>
          <w:b/>
          <w:vertAlign w:val="baseline"/>
        </w:rPr>
        <w:t>GREENSPAN:</w:t>
      </w:r>
      <w:r>
        <w:rPr>
          <w:vertAlign w:val="baseline"/>
        </w:rPr>
        <w:t xml:space="preserve"> I remember when it was lifted and I do recall discussions generally.</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b/>
          <w:vertAlign w:val="baseline"/>
        </w:rPr>
        <w:t>CULVAHOUSE:</w:t>
      </w:r>
      <w:r>
        <w:rPr>
          <w:vertAlign w:val="baseline"/>
        </w:rPr>
        <w:t xml:space="preserve"> I’d like to point out that Dr. Greenspan stepped down as Chairman in January of 2006.  Was the ban lifted before he stepped down?</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E75D76">
        <w:rPr>
          <w:b/>
          <w:vertAlign w:val="baseline"/>
        </w:rPr>
        <w:t>FELDBERG:</w:t>
      </w:r>
      <w:r>
        <w:rPr>
          <w:vertAlign w:val="baseline"/>
        </w:rPr>
        <w:t xml:space="preserve"> It was lifted sometime in 2006.</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E75D76">
        <w:rPr>
          <w:b/>
          <w:vertAlign w:val="baseline"/>
        </w:rPr>
        <w:t>NOONAN:</w:t>
      </w:r>
      <w:r>
        <w:rPr>
          <w:vertAlign w:val="baseline"/>
        </w:rPr>
        <w:t xml:space="preserve"> I believe it was after January, but I would have to check to be sure.</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E75D76">
        <w:rPr>
          <w:b/>
          <w:vertAlign w:val="baseline"/>
        </w:rPr>
        <w:t>CULVAHOUSE:</w:t>
      </w:r>
      <w:r>
        <w:rPr>
          <w:vertAlign w:val="baseline"/>
        </w:rPr>
        <w:t xml:space="preserve"> Would this be an area of questioning at the hearing?</w:t>
      </w:r>
      <w:r>
        <w:rPr>
          <w:vertAlign w:val="baseline"/>
        </w:rPr>
        <w:br/>
      </w:r>
      <w:r>
        <w:rPr>
          <w:vertAlign w:val="baseline"/>
        </w:rPr>
        <w:br/>
      </w:r>
      <w:r>
        <w:rPr>
          <w:b/>
          <w:vertAlign w:val="baseline"/>
        </w:rPr>
        <w:t>GREENE:</w:t>
      </w:r>
      <w:r>
        <w:rPr>
          <w:vertAlign w:val="baseline"/>
        </w:rPr>
        <w:t xml:space="preserve"> It might be. He shouldn’t spend an inordinate amount of time studying it.</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NOONAN:</w:t>
      </w:r>
      <w:r>
        <w:rPr>
          <w:vertAlign w:val="baseline"/>
        </w:rPr>
        <w:t xml:space="preserve"> There’s no expectation that you spend much time preparing on these questions. Our invitation letter to you did not ask you to address Citigroup.</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BROOKS:</w:t>
      </w:r>
      <w:r>
        <w:rPr>
          <w:vertAlign w:val="baseline"/>
        </w:rPr>
        <w:t xml:space="preserve"> I don’t want him to be in a position of commenting on things that he had no knowledge of.</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lastRenderedPageBreak/>
        <w:t>GREENSPAN:</w:t>
      </w:r>
      <w:r>
        <w:rPr>
          <w:vertAlign w:val="baseline"/>
        </w:rPr>
        <w:t xml:space="preserve"> I stepped down in January of 2006. I remember it being discussed throughout the period.</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sidRPr="00CB4D8B">
        <w:rPr>
          <w:b/>
          <w:vertAlign w:val="baseline"/>
        </w:rPr>
        <w:t>NOONAN:</w:t>
      </w:r>
      <w:r>
        <w:rPr>
          <w:vertAlign w:val="baseline"/>
        </w:rPr>
        <w:t xml:space="preserve"> We will let you know when the ban was raised.</w:t>
      </w: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r>
        <w:rPr>
          <w:vertAlign w:val="baseline"/>
        </w:rPr>
        <w:t>END at 11:26</w:t>
      </w:r>
      <w:proofErr w:type="gramStart"/>
      <w:r>
        <w:rPr>
          <w:vertAlign w:val="baseline"/>
        </w:rPr>
        <w:t>am</w:t>
      </w:r>
      <w:proofErr w:type="gramEnd"/>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p>
    <w:p w:rsidR="00821722" w:rsidRDefault="00821722" w:rsidP="00821722">
      <w:pPr>
        <w:widowControl/>
        <w:tabs>
          <w:tab w:val="left" w:pos="-1080"/>
          <w:tab w:val="left" w:pos="-720"/>
          <w:tab w:val="left" w:pos="0"/>
        </w:tabs>
        <w:rPr>
          <w:vertAlign w:val="baseline"/>
        </w:rPr>
      </w:pPr>
    </w:p>
    <w:p w:rsidR="00821722" w:rsidRPr="007634D0" w:rsidRDefault="00821722" w:rsidP="00821722">
      <w:pPr>
        <w:widowControl/>
        <w:tabs>
          <w:tab w:val="left" w:pos="-1080"/>
          <w:tab w:val="left" w:pos="-720"/>
          <w:tab w:val="left" w:pos="0"/>
        </w:tabs>
        <w:rPr>
          <w:sz w:val="16"/>
          <w:vertAlign w:val="baseline"/>
        </w:rPr>
      </w:pPr>
      <w:proofErr w:type="gramStart"/>
      <w:r w:rsidRPr="007634D0">
        <w:rPr>
          <w:sz w:val="16"/>
          <w:vertAlign w:val="baseline"/>
        </w:rPr>
        <w:t>4820-5292-4677, v.</w:t>
      </w:r>
      <w:proofErr w:type="gramEnd"/>
      <w:r w:rsidRPr="007634D0">
        <w:rPr>
          <w:sz w:val="16"/>
          <w:vertAlign w:val="baseline"/>
        </w:rPr>
        <w:t xml:space="preserve">  1</w:t>
      </w:r>
    </w:p>
    <w:p w:rsidR="00AB0C53" w:rsidRPr="00821722" w:rsidRDefault="00AB0C53" w:rsidP="00821722"/>
    <w:sectPr w:rsidR="00AB0C53" w:rsidRPr="00821722" w:rsidSect="00C936A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1B8" w:rsidRDefault="001471B8" w:rsidP="007B14C2">
      <w:r>
        <w:separator/>
      </w:r>
    </w:p>
  </w:endnote>
  <w:endnote w:type="continuationSeparator" w:id="0">
    <w:p w:rsidR="001471B8" w:rsidRDefault="001471B8" w:rsidP="007B1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6830"/>
      <w:docPartObj>
        <w:docPartGallery w:val="Page Numbers (Bottom of Page)"/>
        <w:docPartUnique/>
      </w:docPartObj>
    </w:sdtPr>
    <w:sdtContent>
      <w:sdt>
        <w:sdtPr>
          <w:id w:val="565050477"/>
          <w:docPartObj>
            <w:docPartGallery w:val="Page Numbers (Top of Page)"/>
            <w:docPartUnique/>
          </w:docPartObj>
        </w:sdtPr>
        <w:sdtContent>
          <w:p w:rsidR="006364BD" w:rsidRDefault="006364BD">
            <w:pPr>
              <w:pStyle w:val="Footer"/>
              <w:jc w:val="center"/>
            </w:pPr>
            <w:r>
              <w:t xml:space="preserve">Page </w:t>
            </w:r>
            <w:r w:rsidR="00140DA9">
              <w:rPr>
                <w:b/>
              </w:rPr>
              <w:fldChar w:fldCharType="begin"/>
            </w:r>
            <w:r>
              <w:rPr>
                <w:b/>
              </w:rPr>
              <w:instrText xml:space="preserve"> PAGE </w:instrText>
            </w:r>
            <w:r w:rsidR="00140DA9">
              <w:rPr>
                <w:b/>
              </w:rPr>
              <w:fldChar w:fldCharType="separate"/>
            </w:r>
            <w:r w:rsidR="00F32915">
              <w:rPr>
                <w:b/>
                <w:noProof/>
              </w:rPr>
              <w:t>10</w:t>
            </w:r>
            <w:r w:rsidR="00140DA9">
              <w:rPr>
                <w:b/>
              </w:rPr>
              <w:fldChar w:fldCharType="end"/>
            </w:r>
            <w:r>
              <w:t xml:space="preserve"> of </w:t>
            </w:r>
            <w:r w:rsidR="00140DA9">
              <w:rPr>
                <w:b/>
              </w:rPr>
              <w:fldChar w:fldCharType="begin"/>
            </w:r>
            <w:r>
              <w:rPr>
                <w:b/>
              </w:rPr>
              <w:instrText xml:space="preserve"> NUMPAGES  </w:instrText>
            </w:r>
            <w:r w:rsidR="00140DA9">
              <w:rPr>
                <w:b/>
              </w:rPr>
              <w:fldChar w:fldCharType="separate"/>
            </w:r>
            <w:r w:rsidR="00F32915">
              <w:rPr>
                <w:b/>
                <w:noProof/>
              </w:rPr>
              <w:t>12</w:t>
            </w:r>
            <w:r w:rsidR="00140DA9">
              <w:rPr>
                <w:b/>
              </w:rPr>
              <w:fldChar w:fldCharType="end"/>
            </w:r>
          </w:p>
        </w:sdtContent>
      </w:sdt>
    </w:sdtContent>
  </w:sdt>
  <w:p w:rsidR="006364BD" w:rsidRDefault="006364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1B8" w:rsidRDefault="001471B8" w:rsidP="007B14C2">
      <w:r>
        <w:separator/>
      </w:r>
    </w:p>
  </w:footnote>
  <w:footnote w:type="continuationSeparator" w:id="0">
    <w:p w:rsidR="001471B8" w:rsidRDefault="001471B8" w:rsidP="007B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4BD" w:rsidRPr="007634D0" w:rsidRDefault="006364BD" w:rsidP="007634D0">
    <w:pPr>
      <w:pStyle w:val="Header"/>
      <w:tabs>
        <w:tab w:val="clear" w:pos="9360"/>
      </w:tabs>
      <w:jc w:val="right"/>
      <w:rPr>
        <w:b/>
        <w:i/>
        <w:vertAlign w:val="baseline"/>
      </w:rPr>
    </w:pPr>
    <w:r>
      <w:rPr>
        <w:vertAlign w:val="baseline"/>
      </w:rPr>
      <w:tab/>
    </w:r>
    <w:r>
      <w:rPr>
        <w:b/>
        <w:i/>
        <w:vertAlign w:val="baseline"/>
      </w:rPr>
      <w:t>DRAFT</w:t>
    </w:r>
  </w:p>
  <w:p w:rsidR="006364BD" w:rsidRDefault="006364BD" w:rsidP="007634D0">
    <w:pPr>
      <w:pStyle w:val="Header"/>
      <w:jc w:val="right"/>
      <w:rPr>
        <w:b/>
        <w:i/>
        <w:vertAlign w:val="baseline"/>
      </w:rPr>
    </w:pPr>
    <w:r w:rsidRPr="00F920B4">
      <w:rPr>
        <w:b/>
        <w:i/>
        <w:vertAlign w:val="baseline"/>
      </w:rPr>
      <w:t>Privileged &amp; Confidential</w:t>
    </w:r>
  </w:p>
  <w:p w:rsidR="006364BD" w:rsidRDefault="006364BD" w:rsidP="00D201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5A0A"/>
    <w:multiLevelType w:val="hybridMultilevel"/>
    <w:tmpl w:val="59EAE53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782FE2"/>
    <w:multiLevelType w:val="hybridMultilevel"/>
    <w:tmpl w:val="750E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95214"/>
    <w:multiLevelType w:val="hybridMultilevel"/>
    <w:tmpl w:val="0882DD06"/>
    <w:lvl w:ilvl="0" w:tplc="282A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70"/>
  <w:displayHorizontalDrawingGridEvery w:val="2"/>
  <w:characterSpacingControl w:val="doNotCompress"/>
  <w:footnotePr>
    <w:footnote w:id="-1"/>
    <w:footnote w:id="0"/>
  </w:footnotePr>
  <w:endnotePr>
    <w:endnote w:id="-1"/>
    <w:endnote w:id="0"/>
  </w:endnotePr>
  <w:compat/>
  <w:rsids>
    <w:rsidRoot w:val="00510FC2"/>
    <w:rsid w:val="0003570A"/>
    <w:rsid w:val="0004649F"/>
    <w:rsid w:val="000A2E88"/>
    <w:rsid w:val="000E6B0C"/>
    <w:rsid w:val="001005D7"/>
    <w:rsid w:val="00113AD3"/>
    <w:rsid w:val="00140DA9"/>
    <w:rsid w:val="001471B8"/>
    <w:rsid w:val="00186F9B"/>
    <w:rsid w:val="001C1DF4"/>
    <w:rsid w:val="001D2C36"/>
    <w:rsid w:val="001D45D8"/>
    <w:rsid w:val="002B4A2C"/>
    <w:rsid w:val="002D1B79"/>
    <w:rsid w:val="002F1C31"/>
    <w:rsid w:val="00356E6F"/>
    <w:rsid w:val="00381459"/>
    <w:rsid w:val="00394215"/>
    <w:rsid w:val="00411AAD"/>
    <w:rsid w:val="0044377B"/>
    <w:rsid w:val="00477606"/>
    <w:rsid w:val="004F65E8"/>
    <w:rsid w:val="00510FC2"/>
    <w:rsid w:val="005126ED"/>
    <w:rsid w:val="005634FE"/>
    <w:rsid w:val="00586ECA"/>
    <w:rsid w:val="006364BD"/>
    <w:rsid w:val="00644580"/>
    <w:rsid w:val="007634D0"/>
    <w:rsid w:val="007B14C2"/>
    <w:rsid w:val="007C09BA"/>
    <w:rsid w:val="007D61FB"/>
    <w:rsid w:val="00821722"/>
    <w:rsid w:val="008A28C6"/>
    <w:rsid w:val="009016DE"/>
    <w:rsid w:val="00916C8C"/>
    <w:rsid w:val="009A3010"/>
    <w:rsid w:val="009E5250"/>
    <w:rsid w:val="00A6439B"/>
    <w:rsid w:val="00AB0C53"/>
    <w:rsid w:val="00AB24CD"/>
    <w:rsid w:val="00AB5F98"/>
    <w:rsid w:val="00AC3F15"/>
    <w:rsid w:val="00B420EC"/>
    <w:rsid w:val="00B826F9"/>
    <w:rsid w:val="00BA0581"/>
    <w:rsid w:val="00C115FF"/>
    <w:rsid w:val="00C13D84"/>
    <w:rsid w:val="00C17ED1"/>
    <w:rsid w:val="00C45763"/>
    <w:rsid w:val="00C74556"/>
    <w:rsid w:val="00C936AC"/>
    <w:rsid w:val="00CB4D8B"/>
    <w:rsid w:val="00CB519B"/>
    <w:rsid w:val="00CC5662"/>
    <w:rsid w:val="00CF03ED"/>
    <w:rsid w:val="00D20132"/>
    <w:rsid w:val="00D31966"/>
    <w:rsid w:val="00E07072"/>
    <w:rsid w:val="00E210BC"/>
    <w:rsid w:val="00E424B8"/>
    <w:rsid w:val="00E435D8"/>
    <w:rsid w:val="00E520DD"/>
    <w:rsid w:val="00E55DAD"/>
    <w:rsid w:val="00E95859"/>
    <w:rsid w:val="00F236B2"/>
    <w:rsid w:val="00F32915"/>
    <w:rsid w:val="00F34471"/>
    <w:rsid w:val="00F573F5"/>
    <w:rsid w:val="00FF03F8"/>
    <w:rsid w:val="00FF3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FC2"/>
    <w:pPr>
      <w:widowControl w:val="0"/>
      <w:autoSpaceDE w:val="0"/>
      <w:autoSpaceDN w:val="0"/>
      <w:adjustRightInd w:val="0"/>
    </w:pPr>
    <w:rPr>
      <w:sz w:val="24"/>
      <w:szCs w:val="24"/>
      <w:vertAlign w:val="superscript"/>
    </w:rPr>
  </w:style>
  <w:style w:type="paragraph" w:styleId="Heading1">
    <w:name w:val="heading 1"/>
    <w:basedOn w:val="Normal"/>
    <w:next w:val="Normal"/>
    <w:qFormat/>
    <w:rsid w:val="00510FC2"/>
    <w:pPr>
      <w:keepNext/>
      <w:widowControl/>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4C2"/>
    <w:pPr>
      <w:tabs>
        <w:tab w:val="center" w:pos="4680"/>
        <w:tab w:val="right" w:pos="9360"/>
      </w:tabs>
    </w:pPr>
  </w:style>
  <w:style w:type="character" w:customStyle="1" w:styleId="HeaderChar">
    <w:name w:val="Header Char"/>
    <w:basedOn w:val="DefaultParagraphFont"/>
    <w:link w:val="Header"/>
    <w:uiPriority w:val="99"/>
    <w:rsid w:val="007B14C2"/>
    <w:rPr>
      <w:sz w:val="24"/>
      <w:szCs w:val="24"/>
      <w:vertAlign w:val="superscript"/>
    </w:rPr>
  </w:style>
  <w:style w:type="paragraph" w:styleId="Footer">
    <w:name w:val="footer"/>
    <w:basedOn w:val="Normal"/>
    <w:link w:val="FooterChar"/>
    <w:uiPriority w:val="99"/>
    <w:rsid w:val="007B14C2"/>
    <w:pPr>
      <w:tabs>
        <w:tab w:val="center" w:pos="4680"/>
        <w:tab w:val="right" w:pos="9360"/>
      </w:tabs>
    </w:pPr>
  </w:style>
  <w:style w:type="character" w:customStyle="1" w:styleId="FooterChar">
    <w:name w:val="Footer Char"/>
    <w:basedOn w:val="DefaultParagraphFont"/>
    <w:link w:val="Footer"/>
    <w:uiPriority w:val="99"/>
    <w:rsid w:val="007B14C2"/>
    <w:rPr>
      <w:sz w:val="24"/>
      <w:szCs w:val="24"/>
      <w:vertAlign w:val="superscript"/>
    </w:rPr>
  </w:style>
  <w:style w:type="paragraph" w:styleId="BalloonText">
    <w:name w:val="Balloon Text"/>
    <w:basedOn w:val="Normal"/>
    <w:link w:val="BalloonTextChar"/>
    <w:rsid w:val="007B14C2"/>
    <w:rPr>
      <w:rFonts w:ascii="Tahoma" w:hAnsi="Tahoma" w:cs="Tahoma"/>
      <w:sz w:val="16"/>
      <w:szCs w:val="16"/>
    </w:rPr>
  </w:style>
  <w:style w:type="character" w:customStyle="1" w:styleId="BalloonTextChar">
    <w:name w:val="Balloon Text Char"/>
    <w:basedOn w:val="DefaultParagraphFont"/>
    <w:link w:val="BalloonText"/>
    <w:rsid w:val="007B14C2"/>
    <w:rPr>
      <w:rFonts w:ascii="Tahoma" w:hAnsi="Tahoma" w:cs="Tahoma"/>
      <w:sz w:val="16"/>
      <w:szCs w:val="16"/>
      <w:vertAlign w:val="superscript"/>
    </w:rPr>
  </w:style>
  <w:style w:type="paragraph" w:styleId="ListParagraph">
    <w:name w:val="List Paragraph"/>
    <w:basedOn w:val="Normal"/>
    <w:uiPriority w:val="34"/>
    <w:qFormat/>
    <w:rsid w:val="00FF03F8"/>
    <w:pPr>
      <w:ind w:left="720"/>
    </w:pPr>
  </w:style>
  <w:style w:type="character" w:customStyle="1" w:styleId="contentfield">
    <w:name w:val="contentfield"/>
    <w:basedOn w:val="DefaultParagraphFont"/>
    <w:rsid w:val="004437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97DD-DD2D-4FA7-84E5-892E9550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4186</Words>
  <Characters>23866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 E M O R A N D U M</vt:lpstr>
    </vt:vector>
  </TitlesOfParts>
  <Company>Haskell Slaughter Young &amp; Rediker, LLC</Company>
  <LinksUpToDate>false</LinksUpToDate>
  <CharactersWithSpaces>27997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Robin Cutts</dc:creator>
  <cp:keywords/>
  <dc:description/>
  <cp:lastModifiedBy>smandel</cp:lastModifiedBy>
  <cp:revision>3</cp:revision>
  <cp:lastPrinted>2009-11-24T01:13:00Z</cp:lastPrinted>
  <dcterms:created xsi:type="dcterms:W3CDTF">2010-04-01T20:14:00Z</dcterms:created>
  <dcterms:modified xsi:type="dcterms:W3CDTF">2010-11-18T22:18:00Z</dcterms:modified>
</cp:coreProperties>
</file>