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3D" w:rsidRPr="00214D3D" w:rsidRDefault="00214D3D" w:rsidP="00214D3D">
      <w:pPr>
        <w:spacing w:line="480" w:lineRule="auto"/>
        <w:jc w:val="center"/>
        <w:outlineLvl w:val="0"/>
        <w:rPr>
          <w:rFonts w:ascii="Times New Roman" w:hAnsi="Times New Roman" w:cs="Times New Roman"/>
          <w:b/>
          <w:color w:val="000000"/>
        </w:rPr>
      </w:pPr>
      <w:bookmarkStart w:id="0" w:name="a4"/>
      <w:bookmarkEnd w:id="0"/>
      <w:r w:rsidRPr="00214D3D">
        <w:rPr>
          <w:rFonts w:ascii="Times New Roman" w:hAnsi="Times New Roman" w:cs="Times New Roman"/>
          <w:b/>
          <w:color w:val="000000"/>
        </w:rPr>
        <w:t>MEMORANDUM FOR THE RECORD</w:t>
      </w:r>
    </w:p>
    <w:p w:rsidR="00214D3D" w:rsidRPr="00214D3D" w:rsidRDefault="00214D3D" w:rsidP="00214D3D">
      <w:pPr>
        <w:spacing w:line="480" w:lineRule="auto"/>
        <w:outlineLvl w:val="0"/>
        <w:rPr>
          <w:rFonts w:ascii="Times New Roman" w:hAnsi="Times New Roman" w:cs="Times New Roman"/>
          <w:color w:val="000000"/>
        </w:rPr>
      </w:pPr>
      <w:r w:rsidRPr="00214D3D">
        <w:rPr>
          <w:rFonts w:ascii="Times New Roman" w:hAnsi="Times New Roman" w:cs="Times New Roman"/>
          <w:color w:val="000000"/>
          <w:u w:val="single"/>
        </w:rPr>
        <w:t>Event</w:t>
      </w:r>
      <w:r w:rsidRPr="00214D3D">
        <w:rPr>
          <w:rFonts w:ascii="Times New Roman" w:hAnsi="Times New Roman" w:cs="Times New Roman"/>
          <w:color w:val="000000"/>
        </w:rPr>
        <w:t xml:space="preserve">:  Interview of Lloyd Blankfein, CEO Goldman Sachs </w:t>
      </w:r>
    </w:p>
    <w:p w:rsidR="00214D3D" w:rsidRPr="00214D3D" w:rsidRDefault="00214D3D" w:rsidP="00214D3D">
      <w:pPr>
        <w:spacing w:line="480" w:lineRule="auto"/>
        <w:rPr>
          <w:rFonts w:ascii="Times New Roman" w:hAnsi="Times New Roman" w:cs="Times New Roman"/>
          <w:color w:val="000000"/>
        </w:rPr>
      </w:pPr>
      <w:r w:rsidRPr="00214D3D">
        <w:rPr>
          <w:rFonts w:ascii="Times New Roman" w:hAnsi="Times New Roman" w:cs="Times New Roman"/>
          <w:color w:val="000000"/>
          <w:u w:val="single"/>
        </w:rPr>
        <w:t>Type of Event</w:t>
      </w:r>
      <w:r w:rsidRPr="00214D3D">
        <w:rPr>
          <w:rFonts w:ascii="Times New Roman" w:hAnsi="Times New Roman" w:cs="Times New Roman"/>
          <w:color w:val="000000"/>
        </w:rPr>
        <w:t xml:space="preserve">: Group interview </w:t>
      </w:r>
    </w:p>
    <w:p w:rsidR="00214D3D" w:rsidRPr="00214D3D" w:rsidRDefault="00214D3D" w:rsidP="00214D3D">
      <w:pPr>
        <w:spacing w:line="480" w:lineRule="auto"/>
        <w:rPr>
          <w:rFonts w:ascii="Times New Roman" w:hAnsi="Times New Roman" w:cs="Times New Roman"/>
          <w:color w:val="000000"/>
        </w:rPr>
      </w:pPr>
      <w:r w:rsidRPr="00214D3D">
        <w:rPr>
          <w:rFonts w:ascii="Times New Roman" w:hAnsi="Times New Roman" w:cs="Times New Roman"/>
          <w:color w:val="000000"/>
          <w:u w:val="single"/>
        </w:rPr>
        <w:t>Date of Event</w:t>
      </w:r>
      <w:r w:rsidRPr="00214D3D">
        <w:rPr>
          <w:rFonts w:ascii="Times New Roman" w:hAnsi="Times New Roman" w:cs="Times New Roman"/>
          <w:color w:val="000000"/>
        </w:rPr>
        <w:t xml:space="preserve">: June 16, 2010 </w:t>
      </w:r>
    </w:p>
    <w:p w:rsidR="00214D3D" w:rsidRPr="00214D3D" w:rsidRDefault="00214D3D" w:rsidP="00214D3D">
      <w:pPr>
        <w:spacing w:line="480" w:lineRule="auto"/>
        <w:rPr>
          <w:rFonts w:ascii="Times New Roman" w:hAnsi="Times New Roman" w:cs="Times New Roman"/>
          <w:color w:val="000000"/>
        </w:rPr>
      </w:pPr>
      <w:r w:rsidRPr="00214D3D">
        <w:rPr>
          <w:rFonts w:ascii="Times New Roman" w:hAnsi="Times New Roman" w:cs="Times New Roman"/>
          <w:color w:val="000000"/>
          <w:u w:val="single"/>
        </w:rPr>
        <w:t>Team Leader</w:t>
      </w:r>
      <w:r w:rsidRPr="00214D3D">
        <w:rPr>
          <w:rFonts w:ascii="Times New Roman" w:hAnsi="Times New Roman" w:cs="Times New Roman"/>
          <w:color w:val="000000"/>
        </w:rPr>
        <w:t>: Chris Seefer</w:t>
      </w:r>
    </w:p>
    <w:p w:rsidR="00214D3D" w:rsidRPr="00214D3D" w:rsidRDefault="00214D3D" w:rsidP="00214D3D">
      <w:pPr>
        <w:spacing w:line="480" w:lineRule="auto"/>
        <w:rPr>
          <w:rFonts w:ascii="Times New Roman" w:hAnsi="Times New Roman" w:cs="Times New Roman"/>
          <w:color w:val="000000"/>
        </w:rPr>
      </w:pPr>
      <w:r w:rsidRPr="00214D3D">
        <w:rPr>
          <w:rFonts w:ascii="Times New Roman" w:hAnsi="Times New Roman" w:cs="Times New Roman"/>
          <w:color w:val="000000"/>
          <w:u w:val="single"/>
        </w:rPr>
        <w:t>Location</w:t>
      </w:r>
      <w:r w:rsidRPr="00214D3D">
        <w:rPr>
          <w:rFonts w:ascii="Times New Roman" w:hAnsi="Times New Roman" w:cs="Times New Roman"/>
          <w:color w:val="000000"/>
        </w:rPr>
        <w:t xml:space="preserve">: Goldman Sachs Global Headquarters, 200 West St, New York, NY 10282 </w:t>
      </w:r>
    </w:p>
    <w:p w:rsidR="00214D3D" w:rsidRDefault="00214D3D" w:rsidP="007A1F50">
      <w:pPr>
        <w:outlineLvl w:val="0"/>
        <w:rPr>
          <w:rFonts w:ascii="Times New Roman" w:hAnsi="Times New Roman" w:cs="Times New Roman"/>
          <w:color w:val="000000"/>
        </w:rPr>
      </w:pPr>
      <w:r w:rsidRPr="00214D3D">
        <w:rPr>
          <w:rFonts w:ascii="Times New Roman" w:hAnsi="Times New Roman" w:cs="Times New Roman"/>
          <w:color w:val="000000"/>
          <w:u w:val="single"/>
        </w:rPr>
        <w:t>Participants - Non-Commission</w:t>
      </w:r>
      <w:r w:rsidRPr="00214D3D">
        <w:rPr>
          <w:rFonts w:ascii="Times New Roman" w:hAnsi="Times New Roman" w:cs="Times New Roman"/>
          <w:color w:val="000000"/>
        </w:rPr>
        <w:t xml:space="preserve">: Lloyd Blankfein, Greg Palm, Janet </w:t>
      </w:r>
      <w:proofErr w:type="spellStart"/>
      <w:r w:rsidR="007A1F50" w:rsidRPr="007A1F50">
        <w:rPr>
          <w:rFonts w:ascii="Times New Roman" w:hAnsi="Times New Roman" w:cs="Times New Roman"/>
          <w:color w:val="000000"/>
        </w:rPr>
        <w:t>Broeckel</w:t>
      </w:r>
      <w:proofErr w:type="spellEnd"/>
      <w:r w:rsidRPr="00214D3D">
        <w:rPr>
          <w:rFonts w:ascii="Times New Roman" w:hAnsi="Times New Roman" w:cs="Times New Roman"/>
          <w:color w:val="000000"/>
        </w:rPr>
        <w:t xml:space="preserve">, Richard </w:t>
      </w:r>
      <w:proofErr w:type="spellStart"/>
      <w:r w:rsidRPr="00214D3D">
        <w:rPr>
          <w:rFonts w:ascii="Times New Roman" w:hAnsi="Times New Roman" w:cs="Times New Roman"/>
          <w:color w:val="000000"/>
        </w:rPr>
        <w:t>Klapper</w:t>
      </w:r>
      <w:proofErr w:type="spellEnd"/>
      <w:r w:rsidRPr="00214D3D">
        <w:rPr>
          <w:rFonts w:ascii="Times New Roman" w:hAnsi="Times New Roman" w:cs="Times New Roman"/>
          <w:color w:val="000000"/>
        </w:rPr>
        <w:t xml:space="preserve"> (Sullivan &amp; Cromwell), </w:t>
      </w:r>
      <w:r w:rsidR="007A1F50">
        <w:rPr>
          <w:rFonts w:ascii="Times New Roman" w:hAnsi="Times New Roman" w:cs="Times New Roman"/>
          <w:color w:val="000000"/>
        </w:rPr>
        <w:t xml:space="preserve">Ted Edelman (Sullivan &amp; Cromwell) </w:t>
      </w:r>
    </w:p>
    <w:p w:rsidR="007A1F50" w:rsidRPr="00214D3D" w:rsidRDefault="007A1F50" w:rsidP="007A1F50">
      <w:pPr>
        <w:outlineLvl w:val="0"/>
        <w:rPr>
          <w:rFonts w:ascii="Times New Roman" w:hAnsi="Times New Roman" w:cs="Times New Roman"/>
          <w:color w:val="000000"/>
        </w:rPr>
      </w:pPr>
    </w:p>
    <w:p w:rsidR="00214D3D" w:rsidRPr="00214D3D" w:rsidRDefault="00214D3D" w:rsidP="007A1F50">
      <w:pPr>
        <w:outlineLvl w:val="0"/>
        <w:rPr>
          <w:rFonts w:ascii="Times New Roman" w:hAnsi="Times New Roman" w:cs="Times New Roman"/>
          <w:color w:val="000000"/>
          <w:u w:val="single"/>
        </w:rPr>
      </w:pPr>
      <w:r w:rsidRPr="00214D3D">
        <w:rPr>
          <w:rFonts w:ascii="Times New Roman" w:hAnsi="Times New Roman" w:cs="Times New Roman"/>
          <w:color w:val="000000"/>
          <w:u w:val="single"/>
        </w:rPr>
        <w:t>Participants - Commission</w:t>
      </w:r>
      <w:r w:rsidRPr="00214D3D">
        <w:rPr>
          <w:rFonts w:ascii="Times New Roman" w:hAnsi="Times New Roman" w:cs="Times New Roman"/>
          <w:color w:val="000000"/>
        </w:rPr>
        <w:t xml:space="preserve">: Chris Seefer, Tom Greene, Bob Hinkley, Tom Stanton, Carl McCarden, Clara Morain </w:t>
      </w:r>
    </w:p>
    <w:p w:rsidR="007A1F50" w:rsidRDefault="007A1F50" w:rsidP="007A1F50">
      <w:pPr>
        <w:outlineLvl w:val="0"/>
        <w:rPr>
          <w:rFonts w:ascii="Times New Roman" w:hAnsi="Times New Roman" w:cs="Times New Roman"/>
          <w:color w:val="000000"/>
          <w:u w:val="single"/>
        </w:rPr>
      </w:pPr>
    </w:p>
    <w:p w:rsidR="00214D3D" w:rsidRPr="00214D3D" w:rsidRDefault="00214D3D" w:rsidP="00214D3D">
      <w:pPr>
        <w:spacing w:line="480" w:lineRule="auto"/>
        <w:outlineLvl w:val="0"/>
        <w:rPr>
          <w:rFonts w:ascii="Times New Roman" w:hAnsi="Times New Roman" w:cs="Times New Roman"/>
          <w:color w:val="000000"/>
        </w:rPr>
      </w:pPr>
      <w:r w:rsidRPr="00214D3D">
        <w:rPr>
          <w:rFonts w:ascii="Times New Roman" w:hAnsi="Times New Roman" w:cs="Times New Roman"/>
          <w:color w:val="000000"/>
          <w:u w:val="single"/>
        </w:rPr>
        <w:t>MFR Prepared by</w:t>
      </w:r>
      <w:r w:rsidRPr="00214D3D">
        <w:rPr>
          <w:rFonts w:ascii="Times New Roman" w:hAnsi="Times New Roman" w:cs="Times New Roman"/>
          <w:color w:val="000000"/>
        </w:rPr>
        <w:t>: Clara Morain</w:t>
      </w:r>
    </w:p>
    <w:p w:rsidR="00214D3D" w:rsidRPr="00214D3D" w:rsidRDefault="00214D3D" w:rsidP="00214D3D">
      <w:pPr>
        <w:spacing w:line="480" w:lineRule="auto"/>
        <w:rPr>
          <w:rFonts w:ascii="Times New Roman" w:hAnsi="Times New Roman" w:cs="Times New Roman"/>
          <w:color w:val="000000"/>
        </w:rPr>
      </w:pPr>
      <w:r w:rsidRPr="00214D3D">
        <w:rPr>
          <w:rFonts w:ascii="Times New Roman" w:hAnsi="Times New Roman" w:cs="Times New Roman"/>
          <w:color w:val="000000"/>
          <w:u w:val="single"/>
        </w:rPr>
        <w:t>Date of MFR</w:t>
      </w:r>
      <w:r w:rsidRPr="00214D3D">
        <w:rPr>
          <w:rFonts w:ascii="Times New Roman" w:hAnsi="Times New Roman" w:cs="Times New Roman"/>
          <w:color w:val="000000"/>
        </w:rPr>
        <w:t>: June 20, 2010</w:t>
      </w:r>
    </w:p>
    <w:p w:rsidR="00214D3D" w:rsidRPr="00214D3D" w:rsidRDefault="00214D3D" w:rsidP="00214D3D">
      <w:pPr>
        <w:spacing w:line="480" w:lineRule="auto"/>
        <w:outlineLvl w:val="0"/>
        <w:rPr>
          <w:rFonts w:ascii="Times New Roman" w:hAnsi="Times New Roman" w:cs="Times New Roman"/>
          <w:color w:val="000000"/>
        </w:rPr>
      </w:pPr>
      <w:r w:rsidRPr="00214D3D">
        <w:rPr>
          <w:rFonts w:ascii="Times New Roman" w:hAnsi="Times New Roman" w:cs="Times New Roman"/>
          <w:color w:val="000000"/>
          <w:u w:val="single"/>
        </w:rPr>
        <w:t>Summary of the Interview or Submission</w:t>
      </w:r>
      <w:r w:rsidRPr="00214D3D">
        <w:rPr>
          <w:rFonts w:ascii="Times New Roman" w:hAnsi="Times New Roman" w:cs="Times New Roman"/>
          <w:color w:val="000000"/>
        </w:rPr>
        <w:t xml:space="preserve">:  </w:t>
      </w:r>
    </w:p>
    <w:p w:rsidR="0063178C" w:rsidRDefault="00214D3D" w:rsidP="00214D3D">
      <w:pPr>
        <w:spacing w:after="58"/>
        <w:outlineLvl w:val="0"/>
        <w:rPr>
          <w:rFonts w:ascii="Times New Roman" w:hAnsi="Times New Roman" w:cs="Times New Roman"/>
          <w:b/>
          <w:bCs/>
          <w:color w:val="FF0000"/>
        </w:rPr>
      </w:pPr>
      <w:r w:rsidRPr="00214D3D">
        <w:rPr>
          <w:rFonts w:ascii="Times New Roman" w:hAnsi="Times New Roman" w:cs="Times New Roman"/>
          <w:b/>
          <w:bCs/>
          <w:color w:val="FF0000"/>
        </w:rPr>
        <w:t>This MFR is a paraphrasing of the dialogue and should not be quoted as a transcript.</w:t>
      </w:r>
      <w:r>
        <w:rPr>
          <w:rFonts w:ascii="Times New Roman" w:hAnsi="Times New Roman" w:cs="Times New Roman"/>
          <w:b/>
          <w:bCs/>
          <w:color w:val="FF0000"/>
        </w:rPr>
        <w:t xml:space="preserve">  A transcript of this interview was also prepared and can be viewed by clicking on the following link: </w:t>
      </w:r>
    </w:p>
    <w:p w:rsidR="00214D3D" w:rsidRPr="00214D3D" w:rsidRDefault="00144C01" w:rsidP="00214D3D">
      <w:pPr>
        <w:spacing w:after="58"/>
        <w:outlineLvl w:val="0"/>
        <w:rPr>
          <w:rFonts w:ascii="Times New Roman" w:hAnsi="Times New Roman" w:cs="Times New Roman"/>
          <w:color w:val="FF0000"/>
        </w:rPr>
      </w:pPr>
      <w:hyperlink r:id="rId8" w:history="1">
        <w:r w:rsidR="00214D3D">
          <w:rPr>
            <w:rStyle w:val="Hyperlink"/>
          </w:rPr>
          <w:t>https://vault.netvoyage.com/neWeb2/goId.aspx?id=4815-2501-5046&amp;open=Y</w:t>
        </w:r>
      </w:hyperlink>
      <w:r w:rsidR="00214D3D">
        <w:t>.</w:t>
      </w:r>
    </w:p>
    <w:p w:rsidR="00214D3D" w:rsidRPr="00214D3D" w:rsidRDefault="00214D3D">
      <w:pPr>
        <w:rPr>
          <w:rFonts w:ascii="Times New Roman" w:hAnsi="Times New Roman" w:cs="Times New Roman"/>
          <w:b/>
          <w:u w:val="single"/>
        </w:rPr>
      </w:pPr>
    </w:p>
    <w:p w:rsidR="0001499C" w:rsidRPr="00214D3D" w:rsidRDefault="0001499C">
      <w:pPr>
        <w:rPr>
          <w:rFonts w:ascii="Times New Roman" w:hAnsi="Times New Roman" w:cs="Times New Roman"/>
          <w:b/>
          <w:u w:val="single"/>
        </w:rPr>
      </w:pPr>
      <w:r w:rsidRPr="00214D3D">
        <w:rPr>
          <w:rFonts w:ascii="Times New Roman" w:hAnsi="Times New Roman" w:cs="Times New Roman"/>
          <w:b/>
          <w:u w:val="single"/>
        </w:rPr>
        <w:t xml:space="preserve">Investment </w:t>
      </w:r>
      <w:proofErr w:type="gramStart"/>
      <w:r w:rsidRPr="00214D3D">
        <w:rPr>
          <w:rFonts w:ascii="Times New Roman" w:hAnsi="Times New Roman" w:cs="Times New Roman"/>
          <w:b/>
          <w:u w:val="single"/>
        </w:rPr>
        <w:t>Banking</w:t>
      </w:r>
      <w:proofErr w:type="gramEnd"/>
      <w:r w:rsidRPr="00214D3D">
        <w:rPr>
          <w:rFonts w:ascii="Times New Roman" w:hAnsi="Times New Roman" w:cs="Times New Roman"/>
          <w:b/>
          <w:u w:val="single"/>
        </w:rPr>
        <w:t xml:space="preserve"> versus trading o</w:t>
      </w:r>
      <w:r w:rsidR="00FC7009" w:rsidRPr="00214D3D">
        <w:rPr>
          <w:rFonts w:ascii="Times New Roman" w:hAnsi="Times New Roman" w:cs="Times New Roman"/>
          <w:b/>
          <w:u w:val="single"/>
        </w:rPr>
        <w:t xml:space="preserve">peration </w:t>
      </w:r>
    </w:p>
    <w:p w:rsidR="006C44E3" w:rsidRPr="00214D3D" w:rsidRDefault="007443C0" w:rsidP="007A1F50">
      <w:pPr>
        <w:jc w:val="both"/>
        <w:rPr>
          <w:rFonts w:ascii="Times New Roman" w:hAnsi="Times New Roman" w:cs="Times New Roman"/>
        </w:rPr>
      </w:pPr>
      <w:r w:rsidRPr="00214D3D">
        <w:rPr>
          <w:rFonts w:ascii="Times New Roman" w:hAnsi="Times New Roman" w:cs="Times New Roman"/>
        </w:rPr>
        <w:t xml:space="preserve">Mr. Blankfein did not agree with the conclusion that Goldman Sachs transformed itself from a traditional investment bank into a trading operation, although he </w:t>
      </w:r>
      <w:r w:rsidR="006C44E3" w:rsidRPr="00214D3D">
        <w:rPr>
          <w:rFonts w:ascii="Times New Roman" w:hAnsi="Times New Roman" w:cs="Times New Roman"/>
        </w:rPr>
        <w:t>agreed</w:t>
      </w:r>
      <w:r w:rsidRPr="00214D3D">
        <w:rPr>
          <w:rFonts w:ascii="Times New Roman" w:hAnsi="Times New Roman" w:cs="Times New Roman"/>
        </w:rPr>
        <w:t xml:space="preserve"> that over time, </w:t>
      </w:r>
      <w:r w:rsidR="006C44E3" w:rsidRPr="00214D3D">
        <w:rPr>
          <w:rFonts w:ascii="Times New Roman" w:hAnsi="Times New Roman" w:cs="Times New Roman"/>
        </w:rPr>
        <w:t xml:space="preserve">sales and </w:t>
      </w:r>
      <w:r w:rsidRPr="00214D3D">
        <w:rPr>
          <w:rFonts w:ascii="Times New Roman" w:hAnsi="Times New Roman" w:cs="Times New Roman"/>
        </w:rPr>
        <w:t xml:space="preserve">trading has generated an increasing share of Goldman’s </w:t>
      </w:r>
      <w:r w:rsidR="006C44E3" w:rsidRPr="00214D3D">
        <w:rPr>
          <w:rFonts w:ascii="Times New Roman" w:hAnsi="Times New Roman" w:cs="Times New Roman"/>
        </w:rPr>
        <w:t>revenue</w:t>
      </w:r>
      <w:r w:rsidRPr="00214D3D">
        <w:rPr>
          <w:rFonts w:ascii="Times New Roman" w:hAnsi="Times New Roman" w:cs="Times New Roman"/>
        </w:rPr>
        <w:t>. “We are an investment bank,” he said, “and as we sit here today,</w:t>
      </w:r>
      <w:r w:rsidR="006C44E3" w:rsidRPr="00214D3D">
        <w:rPr>
          <w:rFonts w:ascii="Times New Roman" w:hAnsi="Times New Roman" w:cs="Times New Roman"/>
        </w:rPr>
        <w:t xml:space="preserve"> and for each year that we’ve been a public company,</w:t>
      </w:r>
      <w:r w:rsidRPr="00214D3D">
        <w:rPr>
          <w:rFonts w:ascii="Times New Roman" w:hAnsi="Times New Roman" w:cs="Times New Roman"/>
        </w:rPr>
        <w:t xml:space="preserve"> </w:t>
      </w:r>
      <w:r w:rsidR="006C44E3" w:rsidRPr="00214D3D">
        <w:rPr>
          <w:rFonts w:ascii="Times New Roman" w:hAnsi="Times New Roman" w:cs="Times New Roman"/>
        </w:rPr>
        <w:t>we’re the number</w:t>
      </w:r>
      <w:r w:rsidRPr="00214D3D">
        <w:rPr>
          <w:rFonts w:ascii="Times New Roman" w:hAnsi="Times New Roman" w:cs="Times New Roman"/>
        </w:rPr>
        <w:t xml:space="preserve"> one </w:t>
      </w:r>
      <w:r w:rsidR="006C44E3" w:rsidRPr="00214D3D">
        <w:rPr>
          <w:rFonts w:ascii="Times New Roman" w:hAnsi="Times New Roman" w:cs="Times New Roman"/>
        </w:rPr>
        <w:t xml:space="preserve">firm </w:t>
      </w:r>
      <w:r w:rsidRPr="00214D3D">
        <w:rPr>
          <w:rFonts w:ascii="Times New Roman" w:hAnsi="Times New Roman" w:cs="Times New Roman"/>
        </w:rPr>
        <w:t>in [mergers and acquisitions]</w:t>
      </w:r>
      <w:r w:rsidR="006C44E3" w:rsidRPr="00214D3D">
        <w:rPr>
          <w:rFonts w:ascii="Times New Roman" w:hAnsi="Times New Roman" w:cs="Times New Roman"/>
        </w:rPr>
        <w:t xml:space="preserve"> on every survey, with the exception of 09</w:t>
      </w:r>
      <w:r w:rsidR="0001499C" w:rsidRPr="00214D3D">
        <w:rPr>
          <w:rFonts w:ascii="Times New Roman" w:hAnsi="Times New Roman" w:cs="Times New Roman"/>
        </w:rPr>
        <w:t>,</w:t>
      </w:r>
      <w:r w:rsidRPr="00214D3D">
        <w:rPr>
          <w:rFonts w:ascii="Times New Roman" w:hAnsi="Times New Roman" w:cs="Times New Roman"/>
        </w:rPr>
        <w:t xml:space="preserve">”  </w:t>
      </w:r>
      <w:r w:rsidR="0001499C" w:rsidRPr="00214D3D">
        <w:rPr>
          <w:rFonts w:ascii="Times New Roman" w:hAnsi="Times New Roman" w:cs="Times New Roman"/>
        </w:rPr>
        <w:t xml:space="preserve">when one survey had Goldman Sachs tied for first in mergers and acquisitions.  </w:t>
      </w:r>
      <w:r w:rsidR="007350DD" w:rsidRPr="00214D3D">
        <w:rPr>
          <w:rFonts w:ascii="Times New Roman" w:hAnsi="Times New Roman" w:cs="Times New Roman"/>
        </w:rPr>
        <w:t>Blankfein said that Goldman’s investment banking is the front end</w:t>
      </w:r>
      <w:r w:rsidR="00FC7009" w:rsidRPr="00214D3D">
        <w:rPr>
          <w:rFonts w:ascii="Times New Roman" w:hAnsi="Times New Roman" w:cs="Times New Roman"/>
        </w:rPr>
        <w:t xml:space="preserve"> of the business, an important </w:t>
      </w:r>
      <w:r w:rsidR="007350DD" w:rsidRPr="00214D3D">
        <w:rPr>
          <w:rFonts w:ascii="Times New Roman" w:hAnsi="Times New Roman" w:cs="Times New Roman"/>
        </w:rPr>
        <w:t xml:space="preserve">source of revenue and an important source of business the firm would not otherwise receive.  </w:t>
      </w:r>
      <w:r w:rsidRPr="00214D3D">
        <w:rPr>
          <w:rFonts w:ascii="Times New Roman" w:hAnsi="Times New Roman" w:cs="Times New Roman"/>
        </w:rPr>
        <w:t xml:space="preserve">Blankfein said that the increased significance of Goldman’s trading operations is a function of changes in the market, not of any strategic decision within the firm.  </w:t>
      </w:r>
      <w:r w:rsidR="007350DD" w:rsidRPr="00214D3D">
        <w:rPr>
          <w:rFonts w:ascii="Times New Roman" w:hAnsi="Times New Roman" w:cs="Times New Roman"/>
        </w:rPr>
        <w:t xml:space="preserve">“Corporate business has been soft for the last several years, whereas the sales and trading opportunity hasn’t been, and so part of it is just that the sales and trading business has gotten bigger, and part of it is the investment banking business has been in a bit of a recession because that’s driven by the amount of </w:t>
      </w:r>
      <w:proofErr w:type="spellStart"/>
      <w:r w:rsidR="007350DD" w:rsidRPr="00214D3D">
        <w:rPr>
          <w:rFonts w:ascii="Times New Roman" w:hAnsi="Times New Roman" w:cs="Times New Roman"/>
        </w:rPr>
        <w:t>m&amp;a</w:t>
      </w:r>
      <w:proofErr w:type="spellEnd"/>
      <w:r w:rsidR="007350DD" w:rsidRPr="00214D3D">
        <w:rPr>
          <w:rFonts w:ascii="Times New Roman" w:hAnsi="Times New Roman" w:cs="Times New Roman"/>
        </w:rPr>
        <w:t xml:space="preserve"> business that’s done, and that has been very well correlated with GDP and growth,” he said. </w:t>
      </w:r>
    </w:p>
    <w:p w:rsidR="0001499C" w:rsidRPr="00214D3D" w:rsidRDefault="0001499C" w:rsidP="007A1F50">
      <w:pPr>
        <w:jc w:val="both"/>
        <w:rPr>
          <w:rFonts w:ascii="Times New Roman" w:hAnsi="Times New Roman" w:cs="Times New Roman"/>
        </w:rPr>
      </w:pPr>
    </w:p>
    <w:p w:rsidR="0001499C" w:rsidRPr="00214D3D" w:rsidRDefault="0001499C" w:rsidP="007A1F50">
      <w:pPr>
        <w:jc w:val="both"/>
        <w:rPr>
          <w:rFonts w:ascii="Times New Roman" w:hAnsi="Times New Roman" w:cs="Times New Roman"/>
          <w:b/>
          <w:u w:val="single"/>
        </w:rPr>
      </w:pPr>
      <w:r w:rsidRPr="00214D3D">
        <w:rPr>
          <w:rFonts w:ascii="Times New Roman" w:hAnsi="Times New Roman" w:cs="Times New Roman"/>
          <w:b/>
          <w:u w:val="single"/>
        </w:rPr>
        <w:t>Leverage</w:t>
      </w:r>
    </w:p>
    <w:p w:rsidR="0001499C" w:rsidRPr="00214D3D" w:rsidRDefault="0001499C" w:rsidP="007A1F50">
      <w:pPr>
        <w:jc w:val="both"/>
        <w:rPr>
          <w:rFonts w:ascii="Times New Roman" w:hAnsi="Times New Roman" w:cs="Times New Roman"/>
        </w:rPr>
      </w:pPr>
      <w:r w:rsidRPr="00214D3D">
        <w:rPr>
          <w:rFonts w:ascii="Times New Roman" w:hAnsi="Times New Roman" w:cs="Times New Roman"/>
        </w:rPr>
        <w:t xml:space="preserve">Blankfein said that there was “certainly no decision to be more leveraged” at Goldman Sachs.  He said that until recently when the external market began caring </w:t>
      </w:r>
      <w:r w:rsidR="0001486F" w:rsidRPr="00214D3D">
        <w:rPr>
          <w:rFonts w:ascii="Times New Roman" w:hAnsi="Times New Roman" w:cs="Times New Roman"/>
        </w:rPr>
        <w:t xml:space="preserve">more about </w:t>
      </w:r>
      <w:r w:rsidRPr="00214D3D">
        <w:rPr>
          <w:rFonts w:ascii="Times New Roman" w:hAnsi="Times New Roman" w:cs="Times New Roman"/>
        </w:rPr>
        <w:t xml:space="preserve">leverage, </w:t>
      </w:r>
      <w:r w:rsidR="0001486F" w:rsidRPr="00214D3D">
        <w:rPr>
          <w:rFonts w:ascii="Times New Roman" w:hAnsi="Times New Roman" w:cs="Times New Roman"/>
        </w:rPr>
        <w:t xml:space="preserve">Goldman </w:t>
      </w:r>
      <w:r w:rsidR="009766EA" w:rsidRPr="00214D3D">
        <w:rPr>
          <w:rFonts w:ascii="Times New Roman" w:hAnsi="Times New Roman" w:cs="Times New Roman"/>
        </w:rPr>
        <w:t xml:space="preserve">did </w:t>
      </w:r>
      <w:r w:rsidR="0001486F" w:rsidRPr="00214D3D">
        <w:rPr>
          <w:rFonts w:ascii="Times New Roman" w:hAnsi="Times New Roman" w:cs="Times New Roman"/>
        </w:rPr>
        <w:t xml:space="preserve">not look at </w:t>
      </w:r>
      <w:r w:rsidRPr="00214D3D">
        <w:rPr>
          <w:rFonts w:ascii="Times New Roman" w:hAnsi="Times New Roman" w:cs="Times New Roman"/>
        </w:rPr>
        <w:t xml:space="preserve">leverage </w:t>
      </w:r>
      <w:r w:rsidR="0001486F" w:rsidRPr="00214D3D">
        <w:rPr>
          <w:rFonts w:ascii="Times New Roman" w:hAnsi="Times New Roman" w:cs="Times New Roman"/>
        </w:rPr>
        <w:t xml:space="preserve">as a meaningful metric for understanding the financial condition of the company.  </w:t>
      </w:r>
      <w:r w:rsidRPr="00214D3D">
        <w:rPr>
          <w:rFonts w:ascii="Times New Roman" w:hAnsi="Times New Roman" w:cs="Times New Roman"/>
        </w:rPr>
        <w:t>“</w:t>
      </w:r>
      <w:r w:rsidR="0001486F" w:rsidRPr="00214D3D">
        <w:rPr>
          <w:rFonts w:ascii="Times New Roman" w:hAnsi="Times New Roman" w:cs="Times New Roman"/>
        </w:rPr>
        <w:t>U</w:t>
      </w:r>
      <w:r w:rsidRPr="00214D3D">
        <w:rPr>
          <w:rFonts w:ascii="Times New Roman" w:hAnsi="Times New Roman" w:cs="Times New Roman"/>
        </w:rPr>
        <w:t>ntil recently, I wasn’t even conscious of what our leverage was, in the sense of, the amount of our gross assets versus our equity.  I always thought of it [] was in terms of risk of the way our balance sheet was run</w:t>
      </w:r>
      <w:r w:rsidR="0001486F" w:rsidRPr="00214D3D">
        <w:rPr>
          <w:rFonts w:ascii="Times New Roman" w:hAnsi="Times New Roman" w:cs="Times New Roman"/>
        </w:rPr>
        <w:t>…</w:t>
      </w:r>
      <w:r w:rsidRPr="00214D3D">
        <w:rPr>
          <w:rFonts w:ascii="Times New Roman" w:hAnsi="Times New Roman" w:cs="Times New Roman"/>
        </w:rPr>
        <w:t xml:space="preserve"> </w:t>
      </w:r>
      <w:r w:rsidR="0001486F" w:rsidRPr="00214D3D">
        <w:rPr>
          <w:rFonts w:ascii="Times New Roman" w:hAnsi="Times New Roman" w:cs="Times New Roman"/>
        </w:rPr>
        <w:t>We had no decision to be more leverage or more risky,” he said.</w:t>
      </w:r>
    </w:p>
    <w:p w:rsidR="0001486F" w:rsidRPr="00214D3D" w:rsidRDefault="0001486F" w:rsidP="007A1F50">
      <w:pPr>
        <w:jc w:val="both"/>
        <w:rPr>
          <w:rFonts w:ascii="Times New Roman" w:hAnsi="Times New Roman" w:cs="Times New Roman"/>
        </w:rPr>
      </w:pPr>
    </w:p>
    <w:p w:rsidR="0001499C" w:rsidRPr="00214D3D" w:rsidRDefault="0001486F" w:rsidP="007A1F50">
      <w:pPr>
        <w:jc w:val="both"/>
        <w:rPr>
          <w:rFonts w:ascii="Times New Roman" w:hAnsi="Times New Roman" w:cs="Times New Roman"/>
          <w:b/>
          <w:u w:val="single"/>
        </w:rPr>
      </w:pPr>
      <w:r w:rsidRPr="00214D3D">
        <w:rPr>
          <w:rFonts w:ascii="Times New Roman" w:hAnsi="Times New Roman" w:cs="Times New Roman"/>
          <w:b/>
          <w:u w:val="single"/>
        </w:rPr>
        <w:t>Derivatives</w:t>
      </w:r>
    </w:p>
    <w:p w:rsidR="0096328C" w:rsidRPr="00214D3D" w:rsidRDefault="00696FE0" w:rsidP="007A1F50">
      <w:pPr>
        <w:jc w:val="both"/>
        <w:rPr>
          <w:rFonts w:ascii="Times New Roman" w:hAnsi="Times New Roman" w:cs="Times New Roman"/>
        </w:rPr>
      </w:pPr>
      <w:r w:rsidRPr="00214D3D">
        <w:rPr>
          <w:rFonts w:ascii="Times New Roman" w:hAnsi="Times New Roman" w:cs="Times New Roman"/>
        </w:rPr>
        <w:t xml:space="preserve">Mr. Blankfein stated that “it’s a little bit artificial for me to think about derivatives.”  Rather than thinking about </w:t>
      </w:r>
      <w:r w:rsidR="0001486F" w:rsidRPr="00214D3D">
        <w:rPr>
          <w:rFonts w:ascii="Times New Roman" w:hAnsi="Times New Roman" w:cs="Times New Roman"/>
        </w:rPr>
        <w:t xml:space="preserve">derivatives as a </w:t>
      </w:r>
      <w:r w:rsidR="00DA59AD" w:rsidRPr="00214D3D">
        <w:rPr>
          <w:rFonts w:ascii="Times New Roman" w:hAnsi="Times New Roman" w:cs="Times New Roman"/>
        </w:rPr>
        <w:t xml:space="preserve">distinct </w:t>
      </w:r>
      <w:r w:rsidR="0001486F" w:rsidRPr="00214D3D">
        <w:rPr>
          <w:rFonts w:ascii="Times New Roman" w:hAnsi="Times New Roman" w:cs="Times New Roman"/>
        </w:rPr>
        <w:t>business or an asset class</w:t>
      </w:r>
      <w:r w:rsidRPr="00214D3D">
        <w:rPr>
          <w:rFonts w:ascii="Times New Roman" w:hAnsi="Times New Roman" w:cs="Times New Roman"/>
        </w:rPr>
        <w:t>, he said that he view</w:t>
      </w:r>
      <w:r w:rsidR="00B276B0" w:rsidRPr="00214D3D">
        <w:rPr>
          <w:rFonts w:ascii="Times New Roman" w:hAnsi="Times New Roman" w:cs="Times New Roman"/>
        </w:rPr>
        <w:t>s</w:t>
      </w:r>
      <w:r w:rsidRPr="00214D3D">
        <w:rPr>
          <w:rFonts w:ascii="Times New Roman" w:hAnsi="Times New Roman" w:cs="Times New Roman"/>
        </w:rPr>
        <w:t xml:space="preserve"> them as instruments for generating exposure for a client, for hedging risk, or for taking a position.  </w:t>
      </w:r>
      <w:r w:rsidR="0001486F" w:rsidRPr="00214D3D">
        <w:rPr>
          <w:rFonts w:ascii="Times New Roman" w:hAnsi="Times New Roman" w:cs="Times New Roman"/>
        </w:rPr>
        <w:t xml:space="preserve">“Most of the time, I don’t think about being in a derivatives business, I think of [for example] being in a commodities business </w:t>
      </w:r>
      <w:r w:rsidR="00DA59AD" w:rsidRPr="00214D3D">
        <w:rPr>
          <w:rFonts w:ascii="Times New Roman" w:hAnsi="Times New Roman" w:cs="Times New Roman"/>
        </w:rPr>
        <w:t>and a commodities business has to take positions, or give clients what they want, or hedge the risk… you’re going to have access to futures, cash instruments and derivatives and also</w:t>
      </w:r>
      <w:r w:rsidR="0096328C" w:rsidRPr="00214D3D">
        <w:rPr>
          <w:rFonts w:ascii="Times New Roman" w:hAnsi="Times New Roman" w:cs="Times New Roman"/>
        </w:rPr>
        <w:t>,</w:t>
      </w:r>
      <w:r w:rsidR="00DA59AD" w:rsidRPr="00214D3D">
        <w:rPr>
          <w:rFonts w:ascii="Times New Roman" w:hAnsi="Times New Roman" w:cs="Times New Roman"/>
        </w:rPr>
        <w:t xml:space="preserve"> if you’re in the business long enough, physical in that particular thing.  And I don’t think of [derivatives] as separate, and the people who trade [derivatives] are usually somebody oriented toward an asset class,” rather than to derivatives </w:t>
      </w:r>
      <w:r w:rsidRPr="00214D3D">
        <w:rPr>
          <w:rFonts w:ascii="Times New Roman" w:hAnsi="Times New Roman" w:cs="Times New Roman"/>
        </w:rPr>
        <w:t>more broadly</w:t>
      </w:r>
      <w:r w:rsidR="00DA59AD" w:rsidRPr="00214D3D">
        <w:rPr>
          <w:rFonts w:ascii="Times New Roman" w:hAnsi="Times New Roman" w:cs="Times New Roman"/>
        </w:rPr>
        <w:t xml:space="preserve">.    </w:t>
      </w:r>
    </w:p>
    <w:p w:rsidR="0096328C" w:rsidRPr="00214D3D" w:rsidRDefault="0096328C" w:rsidP="007A1F50">
      <w:pPr>
        <w:jc w:val="both"/>
        <w:rPr>
          <w:rFonts w:ascii="Times New Roman" w:hAnsi="Times New Roman" w:cs="Times New Roman"/>
        </w:rPr>
      </w:pPr>
    </w:p>
    <w:p w:rsidR="006C44E3" w:rsidRPr="00214D3D" w:rsidRDefault="00696FE0" w:rsidP="007A1F50">
      <w:pPr>
        <w:jc w:val="both"/>
        <w:rPr>
          <w:rFonts w:ascii="Times New Roman" w:hAnsi="Times New Roman" w:cs="Times New Roman"/>
        </w:rPr>
      </w:pPr>
      <w:r w:rsidRPr="00214D3D">
        <w:rPr>
          <w:rFonts w:ascii="Times New Roman" w:hAnsi="Times New Roman" w:cs="Times New Roman"/>
        </w:rPr>
        <w:t xml:space="preserve">Blankfein said that he does not think of “derivatives risk” as a meaningful </w:t>
      </w:r>
      <w:r w:rsidR="0096328C" w:rsidRPr="00214D3D">
        <w:rPr>
          <w:rFonts w:ascii="Times New Roman" w:hAnsi="Times New Roman" w:cs="Times New Roman"/>
        </w:rPr>
        <w:t>risk management concept</w:t>
      </w:r>
      <w:r w:rsidRPr="00214D3D">
        <w:rPr>
          <w:rFonts w:ascii="Times New Roman" w:hAnsi="Times New Roman" w:cs="Times New Roman"/>
        </w:rPr>
        <w:t xml:space="preserve">. “To me, derivative risk as a concept just means the risk the derivative doesn’t work… I don’t think of equity derivatives, I think of equity risk.  I’d never say ‘what’s our risk to equity derivatives?’ I’d say, ‘what’s our risk to the S&amp;P?’” he said.  “When I’m looking at risk I’m not thinking about what form it’s taking, I’m thinking about the exposure,” he said.   </w:t>
      </w:r>
    </w:p>
    <w:p w:rsidR="00FF789F" w:rsidRPr="00214D3D" w:rsidRDefault="00FF789F" w:rsidP="007A1F50">
      <w:pPr>
        <w:jc w:val="both"/>
        <w:rPr>
          <w:rFonts w:ascii="Times New Roman" w:hAnsi="Times New Roman" w:cs="Times New Roman"/>
        </w:rPr>
      </w:pPr>
    </w:p>
    <w:p w:rsidR="00FF789F" w:rsidRPr="00214D3D" w:rsidRDefault="00FF789F" w:rsidP="007A1F50">
      <w:pPr>
        <w:jc w:val="both"/>
        <w:rPr>
          <w:rFonts w:ascii="Times New Roman" w:hAnsi="Times New Roman" w:cs="Times New Roman"/>
        </w:rPr>
      </w:pPr>
      <w:r w:rsidRPr="00214D3D">
        <w:rPr>
          <w:rFonts w:ascii="Times New Roman" w:hAnsi="Times New Roman" w:cs="Times New Roman"/>
        </w:rPr>
        <w:t xml:space="preserve">When asked how Goldman managed counterparty risk, Blankfein said that </w:t>
      </w:r>
      <w:r w:rsidR="00A10115" w:rsidRPr="00214D3D">
        <w:rPr>
          <w:rFonts w:ascii="Times New Roman" w:hAnsi="Times New Roman" w:cs="Times New Roman"/>
        </w:rPr>
        <w:t xml:space="preserve">Goldman relied on exposure limits, netting agreements, and various “processes and technologies” to manage counterparty risk.  He said that to the best of his knowledge, there would not be a way for Goldman to have information about the total amount of CDS AIG wrote to counterparties other than Goldman.  “You’d rather have more information about counterparties than less.  You have more interest in and </w:t>
      </w:r>
      <w:r w:rsidR="00E004D4" w:rsidRPr="00214D3D">
        <w:rPr>
          <w:rFonts w:ascii="Times New Roman" w:hAnsi="Times New Roman" w:cs="Times New Roman"/>
        </w:rPr>
        <w:t xml:space="preserve">you have </w:t>
      </w:r>
      <w:r w:rsidR="00A10115" w:rsidRPr="00214D3D">
        <w:rPr>
          <w:rFonts w:ascii="Times New Roman" w:hAnsi="Times New Roman" w:cs="Times New Roman"/>
        </w:rPr>
        <w:t xml:space="preserve">more leverage in getting it the weaker the credit of the counterparty is,” he said. </w:t>
      </w:r>
    </w:p>
    <w:p w:rsidR="00E004D4" w:rsidRPr="00214D3D" w:rsidRDefault="00E004D4" w:rsidP="007A1F50">
      <w:pPr>
        <w:jc w:val="both"/>
        <w:rPr>
          <w:rFonts w:ascii="Times New Roman" w:hAnsi="Times New Roman" w:cs="Times New Roman"/>
        </w:rPr>
      </w:pPr>
      <w:r w:rsidRPr="00214D3D">
        <w:rPr>
          <w:rFonts w:ascii="Times New Roman" w:hAnsi="Times New Roman" w:cs="Times New Roman"/>
        </w:rPr>
        <w:t xml:space="preserve">Blankfein disputed the notion that synthetic CDOs are a socially-valueless form of gambling.  “Yes, it’s a bet,” Blankfein said.  “But it has social utility because </w:t>
      </w:r>
      <w:proofErr w:type="gramStart"/>
      <w:r w:rsidRPr="00214D3D">
        <w:rPr>
          <w:rFonts w:ascii="Times New Roman" w:hAnsi="Times New Roman" w:cs="Times New Roman"/>
        </w:rPr>
        <w:t>it’s</w:t>
      </w:r>
      <w:proofErr w:type="gramEnd"/>
      <w:r w:rsidRPr="00214D3D">
        <w:rPr>
          <w:rFonts w:ascii="Times New Roman" w:hAnsi="Times New Roman" w:cs="Times New Roman"/>
        </w:rPr>
        <w:t xml:space="preserve"> adding liquidity to the market and the market isn’t useless – it’s mortgages.”  He said that like any derivative, mortgage derivatives allow investors to craft the specifi</w:t>
      </w:r>
      <w:r w:rsidR="00195AF5" w:rsidRPr="00214D3D">
        <w:rPr>
          <w:rFonts w:ascii="Times New Roman" w:hAnsi="Times New Roman" w:cs="Times New Roman"/>
        </w:rPr>
        <w:t>c exposures they want to have in their portfolio.  The ability to sculpt a portfolio of mortgage products using derivatives lower transaction costs without changing the underlying portfolio, he said.  Blankfein compared synthetic CDOs</w:t>
      </w:r>
      <w:r w:rsidRPr="00214D3D">
        <w:rPr>
          <w:rFonts w:ascii="Times New Roman" w:hAnsi="Times New Roman" w:cs="Times New Roman"/>
        </w:rPr>
        <w:t xml:space="preserve"> to trading in corn futures or government bonds – markets that are also “many, many multiples of the actual number of government bonds or corn or whatever.”  He said that “on the other side of this crisis, we’re going to want a mortgage market,” and synthetic CDOs are going to be part of it.</w:t>
      </w:r>
    </w:p>
    <w:p w:rsidR="00E004D4" w:rsidRPr="00214D3D" w:rsidRDefault="00E004D4" w:rsidP="007A1F50">
      <w:pPr>
        <w:jc w:val="both"/>
        <w:rPr>
          <w:rFonts w:ascii="Times New Roman" w:hAnsi="Times New Roman" w:cs="Times New Roman"/>
        </w:rPr>
      </w:pPr>
    </w:p>
    <w:p w:rsidR="0096328C" w:rsidRPr="00214D3D" w:rsidRDefault="0096328C" w:rsidP="007A1F50">
      <w:pPr>
        <w:jc w:val="both"/>
        <w:rPr>
          <w:rFonts w:ascii="Times New Roman" w:hAnsi="Times New Roman" w:cs="Times New Roman"/>
          <w:b/>
          <w:u w:val="single"/>
        </w:rPr>
      </w:pPr>
      <w:r w:rsidRPr="00214D3D">
        <w:rPr>
          <w:rFonts w:ascii="Times New Roman" w:hAnsi="Times New Roman" w:cs="Times New Roman"/>
          <w:b/>
          <w:u w:val="single"/>
        </w:rPr>
        <w:t>Goldman’s relationship with AIG</w:t>
      </w:r>
    </w:p>
    <w:p w:rsidR="00696FE0" w:rsidRPr="00214D3D" w:rsidRDefault="0096328C" w:rsidP="007A1F50">
      <w:pPr>
        <w:jc w:val="both"/>
        <w:rPr>
          <w:rFonts w:ascii="Times New Roman" w:hAnsi="Times New Roman" w:cs="Times New Roman"/>
        </w:rPr>
      </w:pPr>
      <w:r w:rsidRPr="00214D3D">
        <w:rPr>
          <w:rFonts w:ascii="Times New Roman" w:hAnsi="Times New Roman" w:cs="Times New Roman"/>
        </w:rPr>
        <w:t xml:space="preserve">Blankfein said that he became aware of the collateral call disputes with AIG sometime in the fall of 2007 when the discrepancy between the </w:t>
      </w:r>
      <w:proofErr w:type="gramStart"/>
      <w:r w:rsidRPr="00214D3D">
        <w:rPr>
          <w:rFonts w:ascii="Times New Roman" w:hAnsi="Times New Roman" w:cs="Times New Roman"/>
        </w:rPr>
        <w:t>margin</w:t>
      </w:r>
      <w:proofErr w:type="gramEnd"/>
      <w:r w:rsidRPr="00214D3D">
        <w:rPr>
          <w:rFonts w:ascii="Times New Roman" w:hAnsi="Times New Roman" w:cs="Times New Roman"/>
        </w:rPr>
        <w:t xml:space="preserve"> demanded and the amount posted continued to grow.  “I was posted that the conversations were hard, that [AIG] owed us money and weren’t paying, it and were being very stubborn about the valuation issue,” he said.  Blankfein noted that at the time, AIG was still considered “one of the great credits in the world,” and so he was not looking at the margin calls themselves, and he was not worried about the credit.  “I was posted that it was becoming a very, very stressful thing back and forth” between Goldman and AIG, and so he spoke with AIG CEO Sullivan to encourage a resolution </w:t>
      </w:r>
      <w:r w:rsidR="00AE7E63" w:rsidRPr="00214D3D">
        <w:rPr>
          <w:rFonts w:ascii="Times New Roman" w:hAnsi="Times New Roman" w:cs="Times New Roman"/>
        </w:rPr>
        <w:t>of</w:t>
      </w:r>
      <w:r w:rsidRPr="00214D3D">
        <w:rPr>
          <w:rFonts w:ascii="Times New Roman" w:hAnsi="Times New Roman" w:cs="Times New Roman"/>
        </w:rPr>
        <w:t xml:space="preserve"> the “non-commercial behavior” that was taking place surrounding the calls.   </w:t>
      </w:r>
      <w:r w:rsidR="00B1529C" w:rsidRPr="00214D3D">
        <w:rPr>
          <w:rFonts w:ascii="Times New Roman" w:hAnsi="Times New Roman" w:cs="Times New Roman"/>
        </w:rPr>
        <w:t xml:space="preserve">Blankfein said that he recalls Sullivan expressing “deference” to Cassano and AIGFP on the call, and conveying the view that AIG was </w:t>
      </w:r>
      <w:r w:rsidR="00FF789F" w:rsidRPr="00214D3D">
        <w:rPr>
          <w:rFonts w:ascii="Times New Roman" w:hAnsi="Times New Roman" w:cs="Times New Roman"/>
        </w:rPr>
        <w:t xml:space="preserve">confident </w:t>
      </w:r>
      <w:r w:rsidR="00B1529C" w:rsidRPr="00214D3D">
        <w:rPr>
          <w:rFonts w:ascii="Times New Roman" w:hAnsi="Times New Roman" w:cs="Times New Roman"/>
        </w:rPr>
        <w:t xml:space="preserve">in </w:t>
      </w:r>
      <w:r w:rsidR="00FF789F" w:rsidRPr="00214D3D">
        <w:rPr>
          <w:rFonts w:ascii="Times New Roman" w:hAnsi="Times New Roman" w:cs="Times New Roman"/>
        </w:rPr>
        <w:t xml:space="preserve">its </w:t>
      </w:r>
      <w:r w:rsidR="00B1529C" w:rsidRPr="00214D3D">
        <w:rPr>
          <w:rFonts w:ascii="Times New Roman" w:hAnsi="Times New Roman" w:cs="Times New Roman"/>
        </w:rPr>
        <w:t xml:space="preserve">marks.  </w:t>
      </w:r>
      <w:r w:rsidRPr="00214D3D">
        <w:rPr>
          <w:rFonts w:ascii="Times New Roman" w:hAnsi="Times New Roman" w:cs="Times New Roman"/>
        </w:rPr>
        <w:t xml:space="preserve">Blankfein said that he recalled that shortly after speaking with CEO Sullivan, AIG did post some of the collateral it owed Goldman.  </w:t>
      </w:r>
    </w:p>
    <w:p w:rsidR="00AE7E63" w:rsidRPr="00214D3D" w:rsidRDefault="00AE7E63" w:rsidP="007A1F50">
      <w:pPr>
        <w:jc w:val="both"/>
        <w:rPr>
          <w:rFonts w:ascii="Times New Roman" w:hAnsi="Times New Roman" w:cs="Times New Roman"/>
        </w:rPr>
      </w:pPr>
    </w:p>
    <w:p w:rsidR="00AE7E63" w:rsidRPr="00214D3D" w:rsidRDefault="00AE7E63" w:rsidP="007A1F50">
      <w:pPr>
        <w:jc w:val="both"/>
        <w:rPr>
          <w:rFonts w:ascii="Times New Roman" w:hAnsi="Times New Roman" w:cs="Times New Roman"/>
        </w:rPr>
      </w:pPr>
      <w:r w:rsidRPr="00214D3D">
        <w:rPr>
          <w:rFonts w:ascii="Times New Roman" w:hAnsi="Times New Roman" w:cs="Times New Roman"/>
        </w:rPr>
        <w:t>Blankfein said that he assumed that the marks Goldman used with AIG were the same marks it used with its other trading parties.  “To the best of my knowledge, that would be the way we would do that.  I don’t know anywhere we’d do it otherwise,” he said.</w:t>
      </w:r>
    </w:p>
    <w:p w:rsidR="00714B41" w:rsidRPr="00214D3D" w:rsidRDefault="00714B41" w:rsidP="007A1F50">
      <w:pPr>
        <w:jc w:val="both"/>
        <w:rPr>
          <w:rFonts w:ascii="Times New Roman" w:hAnsi="Times New Roman" w:cs="Times New Roman"/>
        </w:rPr>
      </w:pPr>
    </w:p>
    <w:p w:rsidR="00714B41" w:rsidRPr="00214D3D" w:rsidRDefault="00714B41" w:rsidP="007A1F50">
      <w:pPr>
        <w:jc w:val="both"/>
        <w:rPr>
          <w:rFonts w:ascii="Times New Roman" w:hAnsi="Times New Roman" w:cs="Times New Roman"/>
        </w:rPr>
      </w:pPr>
      <w:r w:rsidRPr="00214D3D">
        <w:rPr>
          <w:rFonts w:ascii="Times New Roman" w:hAnsi="Times New Roman" w:cs="Times New Roman"/>
        </w:rPr>
        <w:lastRenderedPageBreak/>
        <w:t xml:space="preserve">Blankfein </w:t>
      </w:r>
      <w:r w:rsidR="00CC13AE" w:rsidRPr="00214D3D">
        <w:rPr>
          <w:rFonts w:ascii="Times New Roman" w:hAnsi="Times New Roman" w:cs="Times New Roman"/>
        </w:rPr>
        <w:t xml:space="preserve">said that Goldman purchased CDS against AIG </w:t>
      </w:r>
      <w:r w:rsidRPr="00214D3D">
        <w:rPr>
          <w:rFonts w:ascii="Times New Roman" w:hAnsi="Times New Roman" w:cs="Times New Roman"/>
        </w:rPr>
        <w:t>while collateral disputes were ongoing</w:t>
      </w:r>
      <w:r w:rsidR="00CC13AE" w:rsidRPr="00214D3D">
        <w:rPr>
          <w:rFonts w:ascii="Times New Roman" w:hAnsi="Times New Roman" w:cs="Times New Roman"/>
        </w:rPr>
        <w:t xml:space="preserve">, because when the company had a risk that was not being covered by a </w:t>
      </w:r>
      <w:proofErr w:type="gramStart"/>
      <w:r w:rsidR="00CC13AE" w:rsidRPr="00214D3D">
        <w:rPr>
          <w:rFonts w:ascii="Times New Roman" w:hAnsi="Times New Roman" w:cs="Times New Roman"/>
        </w:rPr>
        <w:t>margin,</w:t>
      </w:r>
      <w:proofErr w:type="gramEnd"/>
      <w:r w:rsidR="00CC13AE" w:rsidRPr="00214D3D">
        <w:rPr>
          <w:rFonts w:ascii="Times New Roman" w:hAnsi="Times New Roman" w:cs="Times New Roman"/>
        </w:rPr>
        <w:t xml:space="preserve"> the company’s risk management </w:t>
      </w:r>
      <w:r w:rsidR="00156BC3" w:rsidRPr="00214D3D">
        <w:rPr>
          <w:rFonts w:ascii="Times New Roman" w:hAnsi="Times New Roman" w:cs="Times New Roman"/>
        </w:rPr>
        <w:t xml:space="preserve">protocols </w:t>
      </w:r>
      <w:r w:rsidR="00CC13AE" w:rsidRPr="00214D3D">
        <w:rPr>
          <w:rFonts w:ascii="Times New Roman" w:hAnsi="Times New Roman" w:cs="Times New Roman"/>
        </w:rPr>
        <w:t xml:space="preserve">dictated that it needed to either buy protection or remove the risk.  Blankfein said that “at the time, </w:t>
      </w:r>
      <w:r w:rsidR="00156BC3" w:rsidRPr="00214D3D">
        <w:rPr>
          <w:rFonts w:ascii="Times New Roman" w:hAnsi="Times New Roman" w:cs="Times New Roman"/>
        </w:rPr>
        <w:t>I</w:t>
      </w:r>
      <w:r w:rsidR="00CC13AE" w:rsidRPr="00214D3D">
        <w:rPr>
          <w:rFonts w:ascii="Times New Roman" w:hAnsi="Times New Roman" w:cs="Times New Roman"/>
        </w:rPr>
        <w:t xml:space="preserve"> remember thinking – ironically – thinking what a waste of money this is going to be,” because he had no doubt that ultimately, AIG was going to pay the margin, but Goldman would still bear the cost of buying protection </w:t>
      </w:r>
      <w:r w:rsidR="00156BC3" w:rsidRPr="00214D3D">
        <w:rPr>
          <w:rFonts w:ascii="Times New Roman" w:hAnsi="Times New Roman" w:cs="Times New Roman"/>
        </w:rPr>
        <w:t xml:space="preserve">to cover its exposure </w:t>
      </w:r>
      <w:r w:rsidR="00CC13AE" w:rsidRPr="00214D3D">
        <w:rPr>
          <w:rFonts w:ascii="Times New Roman" w:hAnsi="Times New Roman" w:cs="Times New Roman"/>
        </w:rPr>
        <w:t xml:space="preserve">during the period where AIG was behind in delivering on the collateral.  </w:t>
      </w:r>
      <w:r w:rsidR="00156BC3" w:rsidRPr="00214D3D">
        <w:rPr>
          <w:rFonts w:ascii="Times New Roman" w:hAnsi="Times New Roman" w:cs="Times New Roman"/>
        </w:rPr>
        <w:t xml:space="preserve">Because Goldman did pay to cover its credit risk with AIG, Blankfein said that its exposure to AIG was “minimal,” which explains why the Goldman “would have been fine” in the absence of the Maiden Lane transactions. </w:t>
      </w:r>
    </w:p>
    <w:p w:rsidR="00AE7E63" w:rsidRPr="00214D3D" w:rsidRDefault="00AE7E63" w:rsidP="007A1F50">
      <w:pPr>
        <w:jc w:val="both"/>
        <w:rPr>
          <w:rFonts w:ascii="Times New Roman" w:hAnsi="Times New Roman" w:cs="Times New Roman"/>
        </w:rPr>
      </w:pPr>
    </w:p>
    <w:p w:rsidR="00AE7E63" w:rsidRPr="00214D3D" w:rsidRDefault="00AE7E63" w:rsidP="007A1F50">
      <w:pPr>
        <w:jc w:val="both"/>
        <w:rPr>
          <w:rFonts w:ascii="Times New Roman" w:hAnsi="Times New Roman" w:cs="Times New Roman"/>
        </w:rPr>
      </w:pPr>
      <w:r w:rsidRPr="00214D3D">
        <w:rPr>
          <w:rFonts w:ascii="Times New Roman" w:hAnsi="Times New Roman" w:cs="Times New Roman"/>
        </w:rPr>
        <w:t xml:space="preserve">When asked by FCIC staff if he ever became concerned about AIG’s ability to survive, Mr. Blankfein said, “I hate to tell you this, but I never really did, not until everyone else in the world started thinking it.” </w:t>
      </w:r>
    </w:p>
    <w:p w:rsidR="00156BC3" w:rsidRPr="00214D3D" w:rsidRDefault="00156BC3" w:rsidP="007A1F50">
      <w:pPr>
        <w:jc w:val="both"/>
        <w:rPr>
          <w:rFonts w:ascii="Times New Roman" w:hAnsi="Times New Roman" w:cs="Times New Roman"/>
          <w:b/>
        </w:rPr>
      </w:pPr>
    </w:p>
    <w:p w:rsidR="00B1529C" w:rsidRPr="00214D3D" w:rsidRDefault="00B1529C" w:rsidP="007A1F50">
      <w:pPr>
        <w:jc w:val="both"/>
        <w:rPr>
          <w:rFonts w:ascii="Times New Roman" w:hAnsi="Times New Roman" w:cs="Times New Roman"/>
          <w:b/>
          <w:u w:val="single"/>
        </w:rPr>
      </w:pPr>
      <w:r w:rsidRPr="00214D3D">
        <w:rPr>
          <w:rFonts w:ascii="Times New Roman" w:hAnsi="Times New Roman" w:cs="Times New Roman"/>
          <w:b/>
          <w:u w:val="single"/>
        </w:rPr>
        <w:t>Risk Management</w:t>
      </w:r>
    </w:p>
    <w:p w:rsidR="0087513D" w:rsidRPr="00214D3D" w:rsidRDefault="00B1529C" w:rsidP="007A1F50">
      <w:pPr>
        <w:jc w:val="both"/>
        <w:rPr>
          <w:rFonts w:ascii="Times New Roman" w:hAnsi="Times New Roman" w:cs="Times New Roman"/>
        </w:rPr>
      </w:pPr>
      <w:r w:rsidRPr="00214D3D">
        <w:rPr>
          <w:rFonts w:ascii="Times New Roman" w:hAnsi="Times New Roman" w:cs="Times New Roman"/>
        </w:rPr>
        <w:t xml:space="preserve">Blankfein emphasized that Goldman’s daily mark to market policy is the cornerstone of its risk management.  </w:t>
      </w:r>
      <w:r w:rsidR="00195AF5" w:rsidRPr="00214D3D">
        <w:rPr>
          <w:rFonts w:ascii="Times New Roman" w:hAnsi="Times New Roman" w:cs="Times New Roman"/>
        </w:rPr>
        <w:t xml:space="preserve">“If you don’t mark to market, I don’t know how you could perform risk management.  If you’re carrying something at a historical price in a world that’s changed, I just don’t understand how you could manage risk effectively,” he said.   Blankfein said that “I don’t think it takes more time to do it right, it’s more about importing the discipline into the culture.”  </w:t>
      </w:r>
      <w:r w:rsidR="0087513D" w:rsidRPr="00214D3D">
        <w:rPr>
          <w:rFonts w:ascii="Times New Roman" w:hAnsi="Times New Roman" w:cs="Times New Roman"/>
        </w:rPr>
        <w:t xml:space="preserve">Blankfein said that everything in Goldman’s book should be “marked roughly to where we can get rid of it.”  </w:t>
      </w:r>
    </w:p>
    <w:p w:rsidR="00B1529C" w:rsidRPr="00214D3D" w:rsidRDefault="00195AF5" w:rsidP="007A1F50">
      <w:pPr>
        <w:jc w:val="both"/>
        <w:rPr>
          <w:rFonts w:ascii="Times New Roman" w:hAnsi="Times New Roman" w:cs="Times New Roman"/>
        </w:rPr>
      </w:pPr>
      <w:r w:rsidRPr="00214D3D">
        <w:rPr>
          <w:rFonts w:ascii="Times New Roman" w:hAnsi="Times New Roman" w:cs="Times New Roman"/>
        </w:rPr>
        <w:t xml:space="preserve">Blankfein said that </w:t>
      </w:r>
      <w:r w:rsidR="0087513D" w:rsidRPr="00214D3D">
        <w:rPr>
          <w:rFonts w:ascii="Times New Roman" w:hAnsi="Times New Roman" w:cs="Times New Roman"/>
        </w:rPr>
        <w:t>Goldman’s</w:t>
      </w:r>
      <w:r w:rsidRPr="00214D3D">
        <w:rPr>
          <w:rFonts w:ascii="Times New Roman" w:hAnsi="Times New Roman" w:cs="Times New Roman"/>
        </w:rPr>
        <w:t xml:space="preserve"> compensation practices are aligned with the risk management priorities at the company, noting that the controller </w:t>
      </w:r>
      <w:proofErr w:type="gramStart"/>
      <w:r w:rsidRPr="00214D3D">
        <w:rPr>
          <w:rFonts w:ascii="Times New Roman" w:hAnsi="Times New Roman" w:cs="Times New Roman"/>
        </w:rPr>
        <w:t>staff receive</w:t>
      </w:r>
      <w:proofErr w:type="gramEnd"/>
      <w:r w:rsidRPr="00214D3D">
        <w:rPr>
          <w:rFonts w:ascii="Times New Roman" w:hAnsi="Times New Roman" w:cs="Times New Roman"/>
        </w:rPr>
        <w:t xml:space="preserve"> compensation </w:t>
      </w:r>
      <w:r w:rsidR="00FC7009" w:rsidRPr="00214D3D">
        <w:rPr>
          <w:rFonts w:ascii="Times New Roman" w:hAnsi="Times New Roman" w:cs="Times New Roman"/>
        </w:rPr>
        <w:t xml:space="preserve">comparable </w:t>
      </w:r>
      <w:r w:rsidRPr="00214D3D">
        <w:rPr>
          <w:rFonts w:ascii="Times New Roman" w:hAnsi="Times New Roman" w:cs="Times New Roman"/>
        </w:rPr>
        <w:t>to traders</w:t>
      </w:r>
      <w:r w:rsidR="00FC7009" w:rsidRPr="00214D3D">
        <w:rPr>
          <w:rFonts w:ascii="Times New Roman" w:hAnsi="Times New Roman" w:cs="Times New Roman"/>
        </w:rPr>
        <w:t>’ compensation</w:t>
      </w:r>
      <w:r w:rsidR="0087513D" w:rsidRPr="00214D3D">
        <w:rPr>
          <w:rFonts w:ascii="Times New Roman" w:hAnsi="Times New Roman" w:cs="Times New Roman"/>
        </w:rPr>
        <w:t>, which is one of several measures the company employs to ensure that risk management functions are held in equal prestige with other departments in the company</w:t>
      </w:r>
      <w:r w:rsidRPr="00214D3D">
        <w:rPr>
          <w:rFonts w:ascii="Times New Roman" w:hAnsi="Times New Roman" w:cs="Times New Roman"/>
        </w:rPr>
        <w:t>.</w:t>
      </w:r>
      <w:r w:rsidR="0087513D" w:rsidRPr="00214D3D">
        <w:rPr>
          <w:rFonts w:ascii="Times New Roman" w:hAnsi="Times New Roman" w:cs="Times New Roman"/>
        </w:rPr>
        <w:t xml:space="preserve"> </w:t>
      </w:r>
      <w:r w:rsidRPr="00214D3D">
        <w:rPr>
          <w:rFonts w:ascii="Times New Roman" w:hAnsi="Times New Roman" w:cs="Times New Roman"/>
        </w:rPr>
        <w:t xml:space="preserve"> </w:t>
      </w:r>
      <w:r w:rsidR="0087513D" w:rsidRPr="00214D3D">
        <w:rPr>
          <w:rFonts w:ascii="Times New Roman" w:hAnsi="Times New Roman" w:cs="Times New Roman"/>
        </w:rPr>
        <w:t>“T</w:t>
      </w:r>
      <w:r w:rsidRPr="00214D3D">
        <w:rPr>
          <w:rFonts w:ascii="Times New Roman" w:hAnsi="Times New Roman" w:cs="Times New Roman"/>
        </w:rPr>
        <w:t>he risk management business has nothing to do with what you think.  I always say that ‘this is a risk management exercise not a what do you think exercise,’” he said</w:t>
      </w:r>
      <w:r w:rsidR="0087513D" w:rsidRPr="00214D3D">
        <w:rPr>
          <w:rFonts w:ascii="Times New Roman" w:hAnsi="Times New Roman" w:cs="Times New Roman"/>
        </w:rPr>
        <w:t xml:space="preserve">. </w:t>
      </w:r>
    </w:p>
    <w:p w:rsidR="00CC13AE" w:rsidRPr="00214D3D" w:rsidRDefault="00CC13AE" w:rsidP="007A1F50">
      <w:pPr>
        <w:jc w:val="both"/>
        <w:rPr>
          <w:rFonts w:ascii="Times New Roman" w:hAnsi="Times New Roman" w:cs="Times New Roman"/>
        </w:rPr>
      </w:pPr>
    </w:p>
    <w:p w:rsidR="00156BC3" w:rsidRPr="00214D3D" w:rsidRDefault="00156BC3" w:rsidP="007A1F50">
      <w:pPr>
        <w:jc w:val="both"/>
        <w:rPr>
          <w:rFonts w:ascii="Times New Roman" w:hAnsi="Times New Roman" w:cs="Times New Roman"/>
        </w:rPr>
      </w:pPr>
      <w:r w:rsidRPr="00214D3D">
        <w:rPr>
          <w:rFonts w:ascii="Times New Roman" w:hAnsi="Times New Roman" w:cs="Times New Roman"/>
        </w:rPr>
        <w:t>Blankfein stated that “the real issue [with AIG] was risk management.  They did not regulate their risk</w:t>
      </w:r>
      <w:r w:rsidR="00E004D4" w:rsidRPr="00214D3D">
        <w:rPr>
          <w:rFonts w:ascii="Times New Roman" w:hAnsi="Times New Roman" w:cs="Times New Roman"/>
        </w:rPr>
        <w:t>… you could bar derivatives from the planet and it wouldn’t get at AIG’s [problems],” he said.</w:t>
      </w:r>
      <w:r w:rsidR="0087513D" w:rsidRPr="00214D3D">
        <w:rPr>
          <w:rFonts w:ascii="Times New Roman" w:hAnsi="Times New Roman" w:cs="Times New Roman"/>
        </w:rPr>
        <w:t xml:space="preserve">   </w:t>
      </w:r>
    </w:p>
    <w:p w:rsidR="00CC13AE" w:rsidRPr="00214D3D" w:rsidRDefault="00CC13AE" w:rsidP="007A1F50">
      <w:pPr>
        <w:jc w:val="both"/>
        <w:rPr>
          <w:rFonts w:ascii="Times New Roman" w:hAnsi="Times New Roman" w:cs="Times New Roman"/>
        </w:rPr>
      </w:pPr>
    </w:p>
    <w:p w:rsidR="00CC13AE" w:rsidRPr="00214D3D" w:rsidRDefault="00FC7009" w:rsidP="007A1F50">
      <w:pPr>
        <w:jc w:val="both"/>
        <w:rPr>
          <w:rFonts w:ascii="Times New Roman" w:hAnsi="Times New Roman" w:cs="Times New Roman"/>
          <w:b/>
          <w:u w:val="single"/>
        </w:rPr>
      </w:pPr>
      <w:proofErr w:type="spellStart"/>
      <w:r w:rsidRPr="00214D3D">
        <w:rPr>
          <w:rFonts w:ascii="Times New Roman" w:hAnsi="Times New Roman" w:cs="Times New Roman"/>
          <w:b/>
          <w:u w:val="single"/>
        </w:rPr>
        <w:t>Timberwolf</w:t>
      </w:r>
      <w:proofErr w:type="spellEnd"/>
      <w:r w:rsidRPr="00214D3D">
        <w:rPr>
          <w:rFonts w:ascii="Times New Roman" w:hAnsi="Times New Roman" w:cs="Times New Roman"/>
          <w:b/>
          <w:u w:val="single"/>
        </w:rPr>
        <w:t xml:space="preserve"> and related transactions</w:t>
      </w:r>
    </w:p>
    <w:p w:rsidR="00FC7009" w:rsidRPr="00214D3D" w:rsidRDefault="00FC7009" w:rsidP="007A1F50">
      <w:pPr>
        <w:jc w:val="both"/>
        <w:rPr>
          <w:rFonts w:ascii="Times New Roman" w:hAnsi="Times New Roman" w:cs="Times New Roman"/>
        </w:rPr>
      </w:pPr>
      <w:r w:rsidRPr="00214D3D">
        <w:rPr>
          <w:rFonts w:ascii="Times New Roman" w:hAnsi="Times New Roman" w:cs="Times New Roman"/>
        </w:rPr>
        <w:t xml:space="preserve">Blankfein disputed the notion that Goldman sold investments to clients who did not understand the risks involved.  “Of course we want to disclose everything,” he said.  He said that he did not know the </w:t>
      </w:r>
      <w:proofErr w:type="spellStart"/>
      <w:r w:rsidRPr="00214D3D">
        <w:rPr>
          <w:rFonts w:ascii="Times New Roman" w:hAnsi="Times New Roman" w:cs="Times New Roman"/>
        </w:rPr>
        <w:t>Timberwolf</w:t>
      </w:r>
      <w:proofErr w:type="spellEnd"/>
      <w:r w:rsidRPr="00214D3D">
        <w:rPr>
          <w:rFonts w:ascii="Times New Roman" w:hAnsi="Times New Roman" w:cs="Times New Roman"/>
        </w:rPr>
        <w:t xml:space="preserve"> transaction specifically, but he dismissed the notion that the client involved would have believed in late 2007 that the market was stable, particularly when the client </w:t>
      </w:r>
      <w:r w:rsidR="0087513D" w:rsidRPr="00214D3D">
        <w:rPr>
          <w:rFonts w:ascii="Times New Roman" w:hAnsi="Times New Roman" w:cs="Times New Roman"/>
        </w:rPr>
        <w:t>invested in</w:t>
      </w:r>
      <w:r w:rsidRPr="00214D3D">
        <w:rPr>
          <w:rFonts w:ascii="Times New Roman" w:hAnsi="Times New Roman" w:cs="Times New Roman"/>
        </w:rPr>
        <w:t xml:space="preserve"> the CDO below par.  “We only sold this stuff to people who </w:t>
      </w:r>
      <w:r w:rsidR="002C7E0E">
        <w:rPr>
          <w:rFonts w:ascii="Times New Roman" w:hAnsi="Times New Roman" w:cs="Times New Roman"/>
        </w:rPr>
        <w:t>were expert in this area</w:t>
      </w:r>
      <w:r w:rsidRPr="00214D3D">
        <w:rPr>
          <w:rFonts w:ascii="Times New Roman" w:hAnsi="Times New Roman" w:cs="Times New Roman"/>
        </w:rPr>
        <w:t>,” he said, and indicated that deals done towards the end of the bubble that lost money did not lose money because of a flaw in the CDO itself.  “A vehicle that loses money is not necessarily a defective product – it’s not a car with faulty brakes, it can be a perfectly great ca</w:t>
      </w:r>
      <w:r w:rsidR="0087513D" w:rsidRPr="00214D3D">
        <w:rPr>
          <w:rFonts w:ascii="Times New Roman" w:hAnsi="Times New Roman" w:cs="Times New Roman"/>
        </w:rPr>
        <w:t>r driven in the wrong direction,</w:t>
      </w:r>
      <w:r w:rsidRPr="00214D3D">
        <w:rPr>
          <w:rFonts w:ascii="Times New Roman" w:hAnsi="Times New Roman" w:cs="Times New Roman"/>
        </w:rPr>
        <w:t>”</w:t>
      </w:r>
      <w:r w:rsidR="0087513D" w:rsidRPr="00214D3D">
        <w:rPr>
          <w:rFonts w:ascii="Times New Roman" w:hAnsi="Times New Roman" w:cs="Times New Roman"/>
        </w:rPr>
        <w:t xml:space="preserve"> he said.</w:t>
      </w:r>
      <w:r w:rsidRPr="00214D3D">
        <w:rPr>
          <w:rFonts w:ascii="Times New Roman" w:hAnsi="Times New Roman" w:cs="Times New Roman"/>
        </w:rPr>
        <w:t xml:space="preserve">  </w:t>
      </w:r>
      <w:r w:rsidR="0087513D" w:rsidRPr="00214D3D">
        <w:rPr>
          <w:rFonts w:ascii="Times New Roman" w:hAnsi="Times New Roman" w:cs="Times New Roman"/>
        </w:rPr>
        <w:t xml:space="preserve">Blankfein </w:t>
      </w:r>
      <w:r w:rsidRPr="00214D3D">
        <w:rPr>
          <w:rFonts w:ascii="Times New Roman" w:hAnsi="Times New Roman" w:cs="Times New Roman"/>
        </w:rPr>
        <w:t xml:space="preserve">compared it to making markets in Spanish debt and BP debt right now, which Goldman is doing, he said.  If investors on the long side of those deals lose money, it </w:t>
      </w:r>
      <w:r w:rsidR="0087513D" w:rsidRPr="00214D3D">
        <w:rPr>
          <w:rFonts w:ascii="Times New Roman" w:hAnsi="Times New Roman" w:cs="Times New Roman"/>
        </w:rPr>
        <w:t>will not necessarily</w:t>
      </w:r>
      <w:r w:rsidRPr="00214D3D">
        <w:rPr>
          <w:rFonts w:ascii="Times New Roman" w:hAnsi="Times New Roman" w:cs="Times New Roman"/>
        </w:rPr>
        <w:t xml:space="preserve"> be because of a flaw in the investment vehicle.</w:t>
      </w:r>
    </w:p>
    <w:p w:rsidR="0087513D" w:rsidRPr="00214D3D" w:rsidRDefault="0087513D" w:rsidP="007A1F50">
      <w:pPr>
        <w:jc w:val="both"/>
        <w:rPr>
          <w:rFonts w:ascii="Times New Roman" w:hAnsi="Times New Roman" w:cs="Times New Roman"/>
        </w:rPr>
      </w:pPr>
    </w:p>
    <w:p w:rsidR="005B43CC" w:rsidRDefault="0087513D" w:rsidP="007A1F50">
      <w:pPr>
        <w:jc w:val="both"/>
        <w:rPr>
          <w:rFonts w:ascii="Times New Roman" w:hAnsi="Times New Roman" w:cs="Times New Roman"/>
          <w:b/>
          <w:u w:val="single"/>
        </w:rPr>
      </w:pPr>
      <w:r w:rsidRPr="00214D3D">
        <w:rPr>
          <w:rFonts w:ascii="Times New Roman" w:hAnsi="Times New Roman" w:cs="Times New Roman"/>
          <w:b/>
          <w:u w:val="single"/>
        </w:rPr>
        <w:t xml:space="preserve"> </w:t>
      </w:r>
    </w:p>
    <w:p w:rsidR="005B43CC" w:rsidRDefault="005B43CC" w:rsidP="007A1F50">
      <w:pPr>
        <w:jc w:val="both"/>
        <w:rPr>
          <w:rFonts w:ascii="Times New Roman" w:hAnsi="Times New Roman" w:cs="Times New Roman"/>
          <w:b/>
          <w:u w:val="single"/>
        </w:rPr>
      </w:pPr>
    </w:p>
    <w:p w:rsidR="0087513D" w:rsidRPr="005B43CC" w:rsidRDefault="0063178C" w:rsidP="007A1F50">
      <w:pPr>
        <w:jc w:val="both"/>
        <w:rPr>
          <w:rFonts w:ascii="Times New Roman" w:hAnsi="Times New Roman" w:cs="Times New Roman"/>
          <w:sz w:val="16"/>
        </w:rPr>
      </w:pPr>
      <w:proofErr w:type="gramStart"/>
      <w:r>
        <w:rPr>
          <w:rFonts w:ascii="Times New Roman" w:hAnsi="Times New Roman" w:cs="Times New Roman"/>
          <w:sz w:val="16"/>
        </w:rPr>
        <w:t>4832-5496-8838, v.</w:t>
      </w:r>
      <w:proofErr w:type="gramEnd"/>
      <w:r>
        <w:rPr>
          <w:rFonts w:ascii="Times New Roman" w:hAnsi="Times New Roman" w:cs="Times New Roman"/>
          <w:sz w:val="16"/>
        </w:rPr>
        <w:t xml:space="preserve">  1</w:t>
      </w:r>
    </w:p>
    <w:sectPr w:rsidR="0087513D" w:rsidRPr="005B43CC" w:rsidSect="000D29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F50" w:rsidRDefault="007A1F50" w:rsidP="007A1F50">
      <w:r>
        <w:separator/>
      </w:r>
    </w:p>
  </w:endnote>
  <w:endnote w:type="continuationSeparator" w:id="0">
    <w:p w:rsidR="007A1F50" w:rsidRDefault="007A1F50" w:rsidP="007A1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47896"/>
      <w:docPartObj>
        <w:docPartGallery w:val="Page Numbers (Bottom of Page)"/>
        <w:docPartUnique/>
      </w:docPartObj>
    </w:sdtPr>
    <w:sdtContent>
      <w:sdt>
        <w:sdtPr>
          <w:id w:val="565050477"/>
          <w:docPartObj>
            <w:docPartGallery w:val="Page Numbers (Top of Page)"/>
            <w:docPartUnique/>
          </w:docPartObj>
        </w:sdtPr>
        <w:sdtContent>
          <w:p w:rsidR="007A1F50" w:rsidRDefault="007A1F50">
            <w:pPr>
              <w:pStyle w:val="Footer"/>
              <w:jc w:val="center"/>
            </w:pPr>
            <w:r>
              <w:t xml:space="preserve">Page </w:t>
            </w:r>
            <w:r w:rsidR="00144C01">
              <w:rPr>
                <w:b/>
                <w:sz w:val="24"/>
                <w:szCs w:val="24"/>
              </w:rPr>
              <w:fldChar w:fldCharType="begin"/>
            </w:r>
            <w:r>
              <w:rPr>
                <w:b/>
              </w:rPr>
              <w:instrText xml:space="preserve"> PAGE </w:instrText>
            </w:r>
            <w:r w:rsidR="00144C01">
              <w:rPr>
                <w:b/>
                <w:sz w:val="24"/>
                <w:szCs w:val="24"/>
              </w:rPr>
              <w:fldChar w:fldCharType="separate"/>
            </w:r>
            <w:r w:rsidR="0063178C">
              <w:rPr>
                <w:b/>
                <w:noProof/>
              </w:rPr>
              <w:t>1</w:t>
            </w:r>
            <w:r w:rsidR="00144C01">
              <w:rPr>
                <w:b/>
                <w:sz w:val="24"/>
                <w:szCs w:val="24"/>
              </w:rPr>
              <w:fldChar w:fldCharType="end"/>
            </w:r>
            <w:r>
              <w:t xml:space="preserve"> of </w:t>
            </w:r>
            <w:r w:rsidR="00144C01">
              <w:rPr>
                <w:b/>
                <w:sz w:val="24"/>
                <w:szCs w:val="24"/>
              </w:rPr>
              <w:fldChar w:fldCharType="begin"/>
            </w:r>
            <w:r>
              <w:rPr>
                <w:b/>
              </w:rPr>
              <w:instrText xml:space="preserve"> NUMPAGES  </w:instrText>
            </w:r>
            <w:r w:rsidR="00144C01">
              <w:rPr>
                <w:b/>
                <w:sz w:val="24"/>
                <w:szCs w:val="24"/>
              </w:rPr>
              <w:fldChar w:fldCharType="separate"/>
            </w:r>
            <w:r w:rsidR="0063178C">
              <w:rPr>
                <w:b/>
                <w:noProof/>
              </w:rPr>
              <w:t>3</w:t>
            </w:r>
            <w:r w:rsidR="00144C01">
              <w:rPr>
                <w:b/>
                <w:sz w:val="24"/>
                <w:szCs w:val="24"/>
              </w:rPr>
              <w:fldChar w:fldCharType="end"/>
            </w:r>
          </w:p>
        </w:sdtContent>
      </w:sdt>
    </w:sdtContent>
  </w:sdt>
  <w:p w:rsidR="007A1F50" w:rsidRDefault="007A1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F50" w:rsidRDefault="007A1F50" w:rsidP="007A1F50">
      <w:r>
        <w:separator/>
      </w:r>
    </w:p>
  </w:footnote>
  <w:footnote w:type="continuationSeparator" w:id="0">
    <w:p w:rsidR="007A1F50" w:rsidRDefault="007A1F50" w:rsidP="007A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50" w:rsidRPr="007A1F50" w:rsidRDefault="007A1F50" w:rsidP="007A1F50">
    <w:pPr>
      <w:pStyle w:val="Header"/>
      <w:jc w:val="right"/>
      <w:rPr>
        <w:rFonts w:ascii="Times New Roman" w:hAnsi="Times New Roman" w:cs="Times New Roman"/>
        <w:b/>
        <w:i/>
      </w:rPr>
    </w:pPr>
    <w:r w:rsidRPr="007A1F50">
      <w:rPr>
        <w:rFonts w:ascii="Times New Roman" w:hAnsi="Times New Roman" w:cs="Times New Roman"/>
        <w:b/>
        <w:i/>
      </w:rPr>
      <w:t>Confidential</w:t>
    </w:r>
  </w:p>
  <w:p w:rsidR="007A1F50" w:rsidRPr="007A1F50" w:rsidRDefault="007A1F50" w:rsidP="007A1F50">
    <w:pPr>
      <w:pStyle w:val="Header"/>
      <w:jc w:val="right"/>
      <w:rPr>
        <w:rFonts w:ascii="Times New Roman" w:hAnsi="Times New Roman" w:cs="Times New Roman"/>
        <w:b/>
        <w:i/>
      </w:rPr>
    </w:pPr>
    <w:r w:rsidRPr="007A1F50">
      <w:rPr>
        <w:rFonts w:ascii="Times New Roman" w:hAnsi="Times New Roman" w:cs="Times New Roman"/>
        <w:b/>
        <w:i/>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43C0"/>
    <w:rsid w:val="0001486F"/>
    <w:rsid w:val="0001499C"/>
    <w:rsid w:val="000D2960"/>
    <w:rsid w:val="00115614"/>
    <w:rsid w:val="00144C01"/>
    <w:rsid w:val="00156BC3"/>
    <w:rsid w:val="00195AF5"/>
    <w:rsid w:val="001C6E80"/>
    <w:rsid w:val="00214D3D"/>
    <w:rsid w:val="002C7E0E"/>
    <w:rsid w:val="005B43CC"/>
    <w:rsid w:val="0063178C"/>
    <w:rsid w:val="00633338"/>
    <w:rsid w:val="00696FE0"/>
    <w:rsid w:val="006C44E3"/>
    <w:rsid w:val="00714B41"/>
    <w:rsid w:val="007350DD"/>
    <w:rsid w:val="007443C0"/>
    <w:rsid w:val="007A1F50"/>
    <w:rsid w:val="0083270F"/>
    <w:rsid w:val="0087513D"/>
    <w:rsid w:val="0096328C"/>
    <w:rsid w:val="009766EA"/>
    <w:rsid w:val="009B5CC0"/>
    <w:rsid w:val="00A10115"/>
    <w:rsid w:val="00AA55E6"/>
    <w:rsid w:val="00AE7E63"/>
    <w:rsid w:val="00B1529C"/>
    <w:rsid w:val="00B276B0"/>
    <w:rsid w:val="00CC13AE"/>
    <w:rsid w:val="00D432A5"/>
    <w:rsid w:val="00DA59AD"/>
    <w:rsid w:val="00E004D4"/>
    <w:rsid w:val="00E24851"/>
    <w:rsid w:val="00FC7009"/>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E6"/>
    <w:pPr>
      <w:spacing w:after="0" w:line="240" w:lineRule="auto"/>
    </w:pPr>
  </w:style>
  <w:style w:type="paragraph" w:styleId="Heading1">
    <w:name w:val="heading 1"/>
    <w:basedOn w:val="Normal"/>
    <w:next w:val="Normal"/>
    <w:link w:val="Heading1Char"/>
    <w:uiPriority w:val="9"/>
    <w:qFormat/>
    <w:rsid w:val="00AA55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55E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5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55E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A55E6"/>
    <w:pPr>
      <w:spacing w:after="0" w:line="240" w:lineRule="auto"/>
    </w:pPr>
  </w:style>
  <w:style w:type="paragraph" w:styleId="ListParagraph">
    <w:name w:val="List Paragraph"/>
    <w:basedOn w:val="Normal"/>
    <w:uiPriority w:val="34"/>
    <w:qFormat/>
    <w:rsid w:val="00AA55E6"/>
    <w:pPr>
      <w:ind w:left="720"/>
    </w:pPr>
  </w:style>
  <w:style w:type="character" w:styleId="Hyperlink">
    <w:name w:val="Hyperlink"/>
    <w:basedOn w:val="DefaultParagraphFont"/>
    <w:uiPriority w:val="99"/>
    <w:semiHidden/>
    <w:unhideWhenUsed/>
    <w:rsid w:val="00214D3D"/>
    <w:rPr>
      <w:color w:val="0000FF"/>
      <w:u w:val="single"/>
    </w:rPr>
  </w:style>
  <w:style w:type="paragraph" w:styleId="Header">
    <w:name w:val="header"/>
    <w:basedOn w:val="Normal"/>
    <w:link w:val="HeaderChar"/>
    <w:uiPriority w:val="99"/>
    <w:semiHidden/>
    <w:unhideWhenUsed/>
    <w:rsid w:val="007A1F50"/>
    <w:pPr>
      <w:tabs>
        <w:tab w:val="center" w:pos="4680"/>
        <w:tab w:val="right" w:pos="9360"/>
      </w:tabs>
    </w:pPr>
  </w:style>
  <w:style w:type="character" w:customStyle="1" w:styleId="HeaderChar">
    <w:name w:val="Header Char"/>
    <w:basedOn w:val="DefaultParagraphFont"/>
    <w:link w:val="Header"/>
    <w:uiPriority w:val="99"/>
    <w:semiHidden/>
    <w:rsid w:val="007A1F50"/>
  </w:style>
  <w:style w:type="paragraph" w:styleId="Footer">
    <w:name w:val="footer"/>
    <w:basedOn w:val="Normal"/>
    <w:link w:val="FooterChar"/>
    <w:uiPriority w:val="99"/>
    <w:unhideWhenUsed/>
    <w:rsid w:val="007A1F50"/>
    <w:pPr>
      <w:tabs>
        <w:tab w:val="center" w:pos="4680"/>
        <w:tab w:val="right" w:pos="9360"/>
      </w:tabs>
    </w:pPr>
  </w:style>
  <w:style w:type="character" w:customStyle="1" w:styleId="FooterChar">
    <w:name w:val="Footer Char"/>
    <w:basedOn w:val="DefaultParagraphFont"/>
    <w:link w:val="Footer"/>
    <w:uiPriority w:val="99"/>
    <w:rsid w:val="007A1F50"/>
  </w:style>
  <w:style w:type="paragraph" w:styleId="DocumentMap">
    <w:name w:val="Document Map"/>
    <w:basedOn w:val="Normal"/>
    <w:link w:val="DocumentMapChar"/>
    <w:uiPriority w:val="99"/>
    <w:semiHidden/>
    <w:unhideWhenUsed/>
    <w:rsid w:val="005B43CC"/>
    <w:rPr>
      <w:rFonts w:ascii="Tahoma" w:hAnsi="Tahoma" w:cs="Tahoma"/>
      <w:sz w:val="16"/>
      <w:szCs w:val="16"/>
    </w:rPr>
  </w:style>
  <w:style w:type="character" w:customStyle="1" w:styleId="DocumentMapChar">
    <w:name w:val="Document Map Char"/>
    <w:basedOn w:val="DefaultParagraphFont"/>
    <w:link w:val="DocumentMap"/>
    <w:uiPriority w:val="99"/>
    <w:semiHidden/>
    <w:rsid w:val="005B4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ult.netvoyage.com/neWeb2/goId.aspx?id=4815-2501-5046&amp;ope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7B32-94AE-4254-AF46-AA727864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Dnoonan</dc:creator>
  <cp:keywords/>
  <dc:description/>
  <cp:lastModifiedBy>Kirsten Downey</cp:lastModifiedBy>
  <cp:revision>4</cp:revision>
  <cp:lastPrinted>2010-12-17T18:06:00Z</cp:lastPrinted>
  <dcterms:created xsi:type="dcterms:W3CDTF">2010-06-20T15:58:00Z</dcterms:created>
  <dcterms:modified xsi:type="dcterms:W3CDTF">2010-12-17T18:10:00Z</dcterms:modified>
</cp:coreProperties>
</file>